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70F8" w:rsidTr="004670F8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670F8" w:rsidRDefault="004670F8">
            <w:pPr>
              <w:keepNext/>
              <w:ind w:hanging="28"/>
              <w:jc w:val="center"/>
              <w:outlineLvl w:val="7"/>
              <w:rPr>
                <w:b/>
                <w:spacing w:val="20"/>
                <w:lang w:eastAsia="en-US"/>
              </w:rPr>
            </w:pPr>
          </w:p>
          <w:p w:rsidR="004670F8" w:rsidRDefault="004670F8">
            <w:pPr>
              <w:keepNext/>
              <w:ind w:hanging="28"/>
              <w:jc w:val="center"/>
              <w:outlineLvl w:val="7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GUVERNUL REPUBLICII MOLDOVA</w:t>
            </w:r>
          </w:p>
          <w:p w:rsidR="004670F8" w:rsidRDefault="004670F8">
            <w:pPr>
              <w:keepNext/>
              <w:ind w:hanging="28"/>
              <w:jc w:val="center"/>
              <w:outlineLvl w:val="7"/>
              <w:rPr>
                <w:b/>
                <w:lang w:eastAsia="en-US"/>
              </w:rPr>
            </w:pPr>
          </w:p>
          <w:p w:rsidR="004670F8" w:rsidRDefault="004670F8">
            <w:pPr>
              <w:keepNext/>
              <w:ind w:hanging="28"/>
              <w:jc w:val="center"/>
              <w:outlineLvl w:val="7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 O T Ă R Î R E  nr</w:t>
            </w:r>
            <w:r>
              <w:rPr>
                <w:lang w:eastAsia="en-US"/>
              </w:rPr>
              <w:t>.</w:t>
            </w:r>
            <w:r>
              <w:rPr>
                <w:b/>
                <w:lang w:eastAsia="en-US"/>
              </w:rPr>
              <w:t>_______</w:t>
            </w:r>
          </w:p>
          <w:p w:rsidR="004670F8" w:rsidRDefault="004670F8">
            <w:pPr>
              <w:ind w:hanging="28"/>
              <w:jc w:val="center"/>
              <w:rPr>
                <w:lang w:eastAsia="en-US"/>
              </w:rPr>
            </w:pPr>
          </w:p>
          <w:p w:rsidR="004670F8" w:rsidRDefault="004670F8">
            <w:pPr>
              <w:ind w:hanging="28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din</w:t>
            </w:r>
            <w:r>
              <w:rPr>
                <w:lang w:eastAsia="en-US"/>
              </w:rPr>
              <w:t xml:space="preserve"> _________________________2022</w:t>
            </w:r>
          </w:p>
          <w:p w:rsidR="004670F8" w:rsidRDefault="004670F8">
            <w:pPr>
              <w:ind w:hanging="28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Chişinău</w:t>
            </w:r>
          </w:p>
          <w:p w:rsidR="004670F8" w:rsidRDefault="004670F8">
            <w:pPr>
              <w:keepNext/>
              <w:spacing w:line="240" w:lineRule="atLeast"/>
              <w:ind w:firstLine="720"/>
              <w:jc w:val="center"/>
              <w:outlineLvl w:val="7"/>
              <w:rPr>
                <w:lang w:eastAsia="en-US"/>
              </w:rPr>
            </w:pPr>
          </w:p>
          <w:p w:rsidR="004670F8" w:rsidRDefault="004670F8">
            <w:pPr>
              <w:keepNext/>
              <w:spacing w:line="240" w:lineRule="atLeast"/>
              <w:ind w:firstLine="720"/>
              <w:jc w:val="center"/>
              <w:outlineLvl w:val="7"/>
              <w:rPr>
                <w:lang w:eastAsia="en-US"/>
              </w:rPr>
            </w:pPr>
          </w:p>
          <w:p w:rsidR="004670F8" w:rsidRDefault="004670F8">
            <w:pPr>
              <w:keepNext/>
              <w:spacing w:line="240" w:lineRule="atLeast"/>
              <w:ind w:firstLine="720"/>
              <w:jc w:val="center"/>
              <w:outlineLvl w:val="7"/>
              <w:rPr>
                <w:lang w:eastAsia="en-US"/>
              </w:rPr>
            </w:pPr>
          </w:p>
          <w:p w:rsidR="004670F8" w:rsidRDefault="004670F8">
            <w:pPr>
              <w:keepNext/>
              <w:spacing w:line="240" w:lineRule="atLeast"/>
              <w:ind w:firstLine="720"/>
              <w:jc w:val="center"/>
              <w:outlineLvl w:val="7"/>
              <w:rPr>
                <w:lang w:eastAsia="en-US"/>
              </w:rPr>
            </w:pPr>
          </w:p>
        </w:tc>
      </w:tr>
    </w:tbl>
    <w:p w:rsidR="004670F8" w:rsidRDefault="004670F8" w:rsidP="004670F8">
      <w:pPr>
        <w:tabs>
          <w:tab w:val="left" w:pos="3000"/>
        </w:tabs>
        <w:spacing w:line="240" w:lineRule="atLeast"/>
        <w:jc w:val="center"/>
        <w:rPr>
          <w:b/>
        </w:rPr>
      </w:pPr>
      <w:r>
        <w:rPr>
          <w:b/>
        </w:rPr>
        <w:t xml:space="preserve">pentru modificarea şi completarea a Regulamentului cu privire </w:t>
      </w:r>
    </w:p>
    <w:p w:rsidR="004670F8" w:rsidRDefault="004670F8" w:rsidP="004670F8">
      <w:pPr>
        <w:tabs>
          <w:tab w:val="left" w:pos="3000"/>
        </w:tabs>
        <w:spacing w:line="240" w:lineRule="atLeast"/>
        <w:jc w:val="center"/>
        <w:rPr>
          <w:b/>
        </w:rPr>
      </w:pPr>
      <w:r>
        <w:rPr>
          <w:b/>
        </w:rPr>
        <w:t xml:space="preserve">la modul de transmitere, schimbare a destinaţiei şi schimb de terenuri, </w:t>
      </w:r>
    </w:p>
    <w:p w:rsidR="004670F8" w:rsidRDefault="004670F8" w:rsidP="004670F8">
      <w:pPr>
        <w:tabs>
          <w:tab w:val="left" w:pos="3000"/>
        </w:tabs>
        <w:spacing w:line="240" w:lineRule="atLeast"/>
        <w:jc w:val="center"/>
        <w:rPr>
          <w:b/>
        </w:rPr>
      </w:pPr>
      <w:r>
        <w:rPr>
          <w:b/>
        </w:rPr>
        <w:t>aprobat prin Hotărârea Guvernului nr. 1170/2016</w:t>
      </w:r>
    </w:p>
    <w:p w:rsidR="004670F8" w:rsidRDefault="004670F8" w:rsidP="004670F8">
      <w:pPr>
        <w:spacing w:line="240" w:lineRule="atLeast"/>
        <w:jc w:val="center"/>
        <w:rPr>
          <w:b/>
        </w:rPr>
      </w:pPr>
      <w:r>
        <w:rPr>
          <w:b/>
        </w:rPr>
        <w:t>----------------------------------------------------------------</w:t>
      </w:r>
    </w:p>
    <w:p w:rsidR="004670F8" w:rsidRDefault="004670F8" w:rsidP="004670F8">
      <w:pPr>
        <w:spacing w:line="240" w:lineRule="atLeast"/>
        <w:jc w:val="both"/>
      </w:pPr>
    </w:p>
    <w:p w:rsidR="004670F8" w:rsidRDefault="004670F8" w:rsidP="004670F8">
      <w:pPr>
        <w:spacing w:line="240" w:lineRule="atLeast"/>
        <w:jc w:val="both"/>
        <w:rPr>
          <w:lang w:val="en-US"/>
        </w:rPr>
      </w:pPr>
    </w:p>
    <w:p w:rsidR="004670F8" w:rsidRDefault="004670F8" w:rsidP="004670F8">
      <w:pPr>
        <w:spacing w:line="240" w:lineRule="atLeast"/>
        <w:jc w:val="both"/>
      </w:pPr>
    </w:p>
    <w:p w:rsidR="004670F8" w:rsidRDefault="004670F8" w:rsidP="004670F8">
      <w:pPr>
        <w:spacing w:before="120" w:after="120"/>
        <w:ind w:firstLine="72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În temeiul art. 8, 15, 36 d), 71 și 83 din Codul funciar nr. 828/1991 (republicat în Monitorul Oficial al Republicii Moldova, 2001, nr. 107, art. 817), cu modificările ulterioare, art. 5 din Legea nr. 29/2018 privind delimitarea proprietății publice (Monitorul Oficial al Republicii Moldova, 2018, nr. 142-148, art. 279), Legii nr. 50/2022 pentru modificarea Codului funciar nr. 828/1991 (Monitorul Oficial al Republicii Moldova, 2022, nr. 88-95, art. 144) Guvernul HOTARASTE:</w:t>
      </w:r>
    </w:p>
    <w:p w:rsidR="004670F8" w:rsidRDefault="004670F8" w:rsidP="004670F8">
      <w:pPr>
        <w:spacing w:before="120" w:after="120"/>
        <w:ind w:firstLine="708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1. Regulamentul cu privire la modul de transmitere, schimbare a destinației și schimb de terenuri, aprobat prin Hotărîrea Guvernului nr. 1170/2016 (Monitorul Oficial al Republicii Moldova, 2016, nr. 369-378 art. 1265) se modifică şi se completează după cum urmează:</w:t>
      </w:r>
      <w:r>
        <w:rPr>
          <w:rFonts w:ascii="Georgia" w:hAnsi="Georgia"/>
          <w:color w:val="333333"/>
          <w:sz w:val="13"/>
          <w:szCs w:val="13"/>
          <w:shd w:val="clear" w:color="auto" w:fill="FFFFFF"/>
        </w:rPr>
        <w:t> </w:t>
      </w:r>
    </w:p>
    <w:p w:rsidR="004670F8" w:rsidRDefault="004670F8" w:rsidP="004670F8">
      <w:pPr>
        <w:spacing w:before="120" w:after="120"/>
        <w:ind w:left="1068" w:right="11" w:hanging="348"/>
        <w:jc w:val="both"/>
        <w:rPr>
          <w:color w:val="333333"/>
          <w:shd w:val="clear" w:color="auto" w:fill="FFFFFF"/>
        </w:rPr>
      </w:pPr>
      <w:bookmarkStart w:id="0" w:name="_Hlk100556733"/>
      <w:r>
        <w:rPr>
          <w:color w:val="333333"/>
          <w:shd w:val="clear" w:color="auto" w:fill="FFFFFF"/>
        </w:rPr>
        <w:t>În Regulament:</w:t>
      </w:r>
    </w:p>
    <w:p w:rsidR="004670F8" w:rsidRDefault="004670F8" w:rsidP="004670F8">
      <w:pPr>
        <w:spacing w:before="120" w:after="120"/>
        <w:ind w:right="1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1) Pe tot parcursul textului din Regulament: cuvântul „Act” se substituie cu cuvintul „Proces-verbal”  și respectiv sintagma „Ministerul Agriculturii, Dezvoltării Regionale și Mediului„ se substituie cu sintagma „Ministerul Agriculturii și Industriei Alimentare„.</w:t>
      </w:r>
    </w:p>
    <w:p w:rsidR="004670F8" w:rsidRDefault="004670F8" w:rsidP="004670F8">
      <w:pPr>
        <w:spacing w:before="120" w:after="120"/>
        <w:ind w:right="11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2) Punctul 3. alin. 3) se propune în următoarea redactie: dupa textul proprietarii terenurilor se completează cu sintagma </w:t>
      </w:r>
      <w:r>
        <w:rPr>
          <w:i/>
          <w:iCs/>
          <w:shd w:val="clear" w:color="auto" w:fill="FFFFFF"/>
        </w:rPr>
        <w:t xml:space="preserve">„Întreprinderile private din domeniul reglementării regimului proprietății funciare (pe bază de contract cu persoanele interesate), proprietarii terenurilor agricole la </w:t>
      </w:r>
      <w:r>
        <w:rPr>
          <w:i/>
          <w:color w:val="333333"/>
          <w:shd w:val="clear" w:color="auto" w:fill="FFFFFF"/>
        </w:rPr>
        <w:t>prezentarea actelor prevăzute la pct. 27 subpct. 2) din prezentul Regulament autorităţilor locale pentru aprobarea deciziei privind schimbarea destinaţiei terenurilor agricole – pentru schimbarea destinaţiei terenurilor proprietate privată.</w:t>
      </w:r>
      <w:r>
        <w:rPr>
          <w:i/>
          <w:iCs/>
          <w:shd w:val="clear" w:color="auto" w:fill="FFFFFF"/>
        </w:rPr>
        <w:t>)„</w:t>
      </w:r>
      <w:r>
        <w:rPr>
          <w:shd w:val="clear" w:color="auto" w:fill="FFFFFF"/>
        </w:rPr>
        <w:t>.</w:t>
      </w:r>
    </w:p>
    <w:p w:rsidR="004670F8" w:rsidRDefault="004670F8" w:rsidP="004670F8">
      <w:pPr>
        <w:spacing w:before="120" w:after="120"/>
        <w:ind w:right="11" w:firstLine="708"/>
        <w:jc w:val="both"/>
        <w:rPr>
          <w:i/>
          <w:iCs/>
          <w:shd w:val="clear" w:color="auto" w:fill="FFFFFF"/>
        </w:rPr>
      </w:pPr>
      <w:r>
        <w:rPr>
          <w:color w:val="333333"/>
          <w:shd w:val="clear" w:color="auto" w:fill="FFFFFF"/>
        </w:rPr>
        <w:t xml:space="preserve">3) Punctul 23 după textul </w:t>
      </w:r>
      <w:r>
        <w:rPr>
          <w:shd w:val="clear" w:color="auto" w:fill="FFFFFF"/>
        </w:rPr>
        <w:t>„</w:t>
      </w:r>
      <w:r>
        <w:rPr>
          <w:color w:val="333333"/>
          <w:shd w:val="clear" w:color="auto" w:fill="FFFFFF"/>
        </w:rPr>
        <w:t xml:space="preserve"> (drumuri, linii de comunicaţii electronice şi de transport electric, conducte,</w:t>
      </w:r>
      <w:r>
        <w:rPr>
          <w:shd w:val="clear" w:color="auto" w:fill="FFFFFF"/>
        </w:rPr>
        <w:t xml:space="preserve"> „ </w:t>
      </w:r>
      <w:r>
        <w:rPr>
          <w:color w:val="333333"/>
          <w:shd w:val="clear" w:color="auto" w:fill="FFFFFF"/>
        </w:rPr>
        <w:t xml:space="preserve"> se introduce textul </w:t>
      </w:r>
      <w:r>
        <w:rPr>
          <w:shd w:val="clear" w:color="auto" w:fill="FFFFFF"/>
        </w:rPr>
        <w:t>„</w:t>
      </w:r>
      <w:r>
        <w:rPr>
          <w:color w:val="333333"/>
          <w:shd w:val="clear" w:color="auto" w:fill="FFFFFF"/>
        </w:rPr>
        <w:t>a instalatiilor eoliene</w:t>
      </w:r>
      <w:r>
        <w:rPr>
          <w:shd w:val="clear" w:color="auto" w:fill="FFFFFF"/>
        </w:rPr>
        <w:t>„ a.</w:t>
      </w:r>
      <w:r>
        <w:rPr>
          <w:color w:val="333333"/>
          <w:shd w:val="clear" w:color="auto" w:fill="FFFFFF"/>
        </w:rPr>
        <w:t xml:space="preserve"> </w:t>
      </w:r>
    </w:p>
    <w:p w:rsidR="004670F8" w:rsidRDefault="004670F8" w:rsidP="004670F8">
      <w:pPr>
        <w:spacing w:before="120" w:after="120"/>
        <w:ind w:right="11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4) Punctul 27 lit. d) după sintagma „Inspectoratul pentru Protecţia Mediului” se omite</w:t>
      </w:r>
      <w:r>
        <w:rPr>
          <w:sz w:val="16"/>
          <w:szCs w:val="16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sintagma «serviciul de salvatori şi pompieri atestaţi». </w:t>
      </w:r>
    </w:p>
    <w:p w:rsidR="004670F8" w:rsidRDefault="004670F8" w:rsidP="004670F8">
      <w:pPr>
        <w:spacing w:before="120" w:after="120"/>
        <w:ind w:right="11" w:firstLine="709"/>
        <w:jc w:val="both"/>
        <w:rPr>
          <w:rStyle w:val="a3"/>
          <w:i w:val="0"/>
          <w:iCs/>
        </w:rPr>
      </w:pPr>
      <w:r>
        <w:rPr>
          <w:shd w:val="clear" w:color="auto" w:fill="FFFFFF"/>
        </w:rPr>
        <w:t xml:space="preserve">5) Punctul 35 după sintagma </w:t>
      </w:r>
      <w:r>
        <w:rPr>
          <w:rFonts w:ascii="PT Serif" w:hAnsi="PT Serif"/>
          <w:color w:val="333333"/>
          <w:shd w:val="clear" w:color="auto" w:fill="FFFFFF"/>
        </w:rPr>
        <w:t> </w:t>
      </w:r>
      <w:r>
        <w:rPr>
          <w:rFonts w:ascii="PT Serif" w:hAnsi="PT Serif"/>
          <w:color w:val="333333"/>
          <w:shd w:val="clear" w:color="auto" w:fill="FFFFFF"/>
          <w:lang w:val="en-US"/>
        </w:rPr>
        <w:t>«</w:t>
      </w:r>
      <w:r>
        <w:rPr>
          <w:i/>
          <w:iCs/>
          <w:color w:val="333333"/>
          <w:shd w:val="clear" w:color="auto" w:fill="FFFFFF"/>
        </w:rPr>
        <w:t>pensiunile agroturistice</w:t>
      </w:r>
      <w:r>
        <w:rPr>
          <w:i/>
          <w:iCs/>
          <w:color w:val="333333"/>
          <w:shd w:val="clear" w:color="auto" w:fill="FFFFFF"/>
          <w:lang w:val="en-US"/>
        </w:rPr>
        <w:t>»</w:t>
      </w:r>
      <w:r>
        <w:rPr>
          <w:color w:val="333333"/>
          <w:shd w:val="clear" w:color="auto" w:fill="FFFFFF"/>
        </w:rPr>
        <w:t xml:space="preserve"> se completează cu textul </w:t>
      </w:r>
      <w:r>
        <w:rPr>
          <w:i/>
          <w:iCs/>
          <w:shd w:val="clear" w:color="auto" w:fill="FFFFFF"/>
        </w:rPr>
        <w:t>„</w:t>
      </w:r>
      <w:r>
        <w:rPr>
          <w:i/>
          <w:iCs/>
          <w:color w:val="000000"/>
          <w:shd w:val="clear" w:color="auto" w:fill="FFFFFF"/>
        </w:rPr>
        <w:t>terenurile ocupate de sisteme fotovoltaice solare, cu condiția înierbării acestora sau a desfășurării activităților ce au drept scop obținerea produselor agricole.</w:t>
      </w:r>
      <w:r>
        <w:rPr>
          <w:i/>
          <w:iCs/>
          <w:shd w:val="clear" w:color="auto" w:fill="FFFFFF"/>
        </w:rPr>
        <w:t>„. După  „textul de frigidere destinate păstrării produselor agricole„ se introduce  textul „de hale destinate procesării primare a produselor agricole perisabile„.</w:t>
      </w:r>
    </w:p>
    <w:p w:rsidR="004670F8" w:rsidRDefault="004670F8" w:rsidP="004670F8">
      <w:pPr>
        <w:spacing w:before="120" w:after="120"/>
        <w:ind w:firstLine="708"/>
        <w:jc w:val="both"/>
        <w:rPr>
          <w:rStyle w:val="a3"/>
          <w:i w:val="0"/>
          <w:iCs/>
        </w:rPr>
      </w:pPr>
      <w:r>
        <w:rPr>
          <w:shd w:val="clear" w:color="auto" w:fill="FFFFFF"/>
        </w:rPr>
        <w:t xml:space="preserve">6) Punctul 36  dupa </w:t>
      </w:r>
      <w:r>
        <w:rPr>
          <w:i/>
          <w:iCs/>
          <w:shd w:val="clear" w:color="auto" w:fill="FFFFFF"/>
        </w:rPr>
        <w:t>„</w:t>
      </w:r>
      <w:r>
        <w:rPr>
          <w:shd w:val="clear" w:color="auto" w:fill="FFFFFF"/>
        </w:rPr>
        <w:t>lit. b)</w:t>
      </w:r>
      <w:r>
        <w:rPr>
          <w:i/>
          <w:iCs/>
          <w:shd w:val="clear" w:color="auto" w:fill="FFFFFF"/>
        </w:rPr>
        <w:t xml:space="preserve"> „</w:t>
      </w:r>
      <w:r>
        <w:rPr>
          <w:shd w:val="clear" w:color="auto" w:fill="FFFFFF"/>
        </w:rPr>
        <w:t xml:space="preserve"> se completează cu </w:t>
      </w:r>
      <w:r>
        <w:rPr>
          <w:i/>
          <w:iCs/>
          <w:shd w:val="clear" w:color="auto" w:fill="FFFFFF"/>
        </w:rPr>
        <w:t>„</w:t>
      </w:r>
      <w:r>
        <w:rPr>
          <w:shd w:val="clear" w:color="auto" w:fill="FFFFFF"/>
        </w:rPr>
        <w:t>lit.d)</w:t>
      </w:r>
      <w:r>
        <w:rPr>
          <w:i/>
          <w:iCs/>
          <w:shd w:val="clear" w:color="auto" w:fill="FFFFFF"/>
        </w:rPr>
        <w:t>„</w:t>
      </w:r>
    </w:p>
    <w:p w:rsidR="004670F8" w:rsidRDefault="004670F8" w:rsidP="004670F8">
      <w:pPr>
        <w:spacing w:before="120" w:after="120"/>
        <w:ind w:firstLine="708"/>
        <w:jc w:val="both"/>
        <w:rPr>
          <w:rStyle w:val="a3"/>
          <w:i w:val="0"/>
          <w:iCs/>
        </w:rPr>
      </w:pPr>
      <w:r>
        <w:t>7) Punctul 39 aliniatul 2 după sintagma</w:t>
      </w:r>
      <w:r>
        <w:rPr>
          <w:rStyle w:val="a3"/>
          <w:i w:val="0"/>
          <w:iCs/>
        </w:rPr>
        <w:t xml:space="preserve"> «Adunării Populare a Găgăuzei» se include cuvântul «inclusiv» şi mai departe după text.</w:t>
      </w:r>
    </w:p>
    <w:p w:rsidR="004670F8" w:rsidRDefault="004670F8" w:rsidP="004670F8">
      <w:pPr>
        <w:spacing w:before="120" w:after="120"/>
        <w:ind w:firstLine="708"/>
        <w:jc w:val="both"/>
        <w:rPr>
          <w:rStyle w:val="a3"/>
          <w:i w:val="0"/>
          <w:iCs/>
        </w:rPr>
      </w:pPr>
      <w:r>
        <w:rPr>
          <w:rStyle w:val="a3"/>
          <w:i w:val="0"/>
          <w:iCs/>
        </w:rPr>
        <w:lastRenderedPageBreak/>
        <w:t xml:space="preserve">8)  Punctul 10 al Anexei </w:t>
      </w:r>
      <w:smartTag w:uri="urn:schemas-microsoft-com:office:smarttags" w:element="PersonName">
        <w:smartTagPr>
          <w:attr w:name="ProductID" w:val="la Regulament"/>
        </w:smartTagPr>
        <w:r>
          <w:rPr>
            <w:rStyle w:val="a3"/>
            <w:i w:val="0"/>
            <w:iCs/>
          </w:rPr>
          <w:t>la Regulament</w:t>
        </w:r>
      </w:smartTag>
      <w:r>
        <w:rPr>
          <w:rStyle w:val="a3"/>
          <w:i w:val="0"/>
          <w:iCs/>
        </w:rPr>
        <w:t xml:space="preserve"> după sintagma „transmiterii terenului”  de completat cu sintagma „ schimbării categoriei de destinaţie a terenului şi schimbul unor terenuri”. </w:t>
      </w:r>
    </w:p>
    <w:p w:rsidR="004670F8" w:rsidRDefault="004670F8" w:rsidP="004670F8">
      <w:pPr>
        <w:spacing w:before="120" w:after="120"/>
        <w:jc w:val="both"/>
      </w:pPr>
      <w:r>
        <w:t xml:space="preserve">            9) Anexa nr. 1 cu denumirea curentă va fi expusă în următoarea redacţie:</w:t>
      </w:r>
    </w:p>
    <w:p w:rsidR="004670F8" w:rsidRDefault="004670F8" w:rsidP="004670F8">
      <w:pPr>
        <w:spacing w:before="120" w:after="120"/>
        <w:jc w:val="both"/>
      </w:pPr>
      <w:r>
        <w:tab/>
      </w:r>
      <w:r>
        <w:rPr>
          <w:rStyle w:val="a3"/>
          <w:i w:val="0"/>
          <w:iCs/>
        </w:rPr>
        <w:t>”</w:t>
      </w:r>
      <w:r>
        <w:t>a) proces-verbal de selectare a terenului proprietate publică, în scopul transmiterii unui /(unor) teren(uri) (model);</w:t>
      </w:r>
    </w:p>
    <w:p w:rsidR="004670F8" w:rsidRDefault="004670F8" w:rsidP="004670F8">
      <w:pPr>
        <w:spacing w:before="120" w:after="120"/>
        <w:jc w:val="both"/>
      </w:pPr>
      <w:r>
        <w:tab/>
        <w:t>b) proces-verbal de examinare a bunului imobil format/selectare a terenului proprietate publică, în scopul schimbării categoriei de destinaţie a unui (unor)/ teren(uri) (model);</w:t>
      </w:r>
    </w:p>
    <w:p w:rsidR="004670F8" w:rsidRDefault="004670F8" w:rsidP="004670F8">
      <w:pPr>
        <w:spacing w:before="120" w:after="120"/>
        <w:jc w:val="both"/>
      </w:pPr>
      <w:r>
        <w:tab/>
        <w:t>c) proces-verbal de examinare a unor terenuri formate proprietate publică, în scopul schimbului de terenuri (model)</w:t>
      </w:r>
      <w:r>
        <w:rPr>
          <w:rStyle w:val="a3"/>
          <w:i w:val="0"/>
          <w:iCs/>
        </w:rPr>
        <w:t xml:space="preserve"> ”.</w:t>
      </w:r>
      <w:r>
        <w:t xml:space="preserve">  </w:t>
      </w:r>
    </w:p>
    <w:bookmarkEnd w:id="0"/>
    <w:p w:rsidR="004670F8" w:rsidRDefault="004670F8" w:rsidP="004670F8">
      <w:pPr>
        <w:tabs>
          <w:tab w:val="left" w:pos="6600"/>
        </w:tabs>
        <w:spacing w:before="120" w:after="120"/>
        <w:ind w:right="-20"/>
        <w:rPr>
          <w:bCs/>
        </w:rPr>
      </w:pPr>
      <w:r>
        <w:rPr>
          <w:b/>
          <w:bCs/>
        </w:rPr>
        <w:t xml:space="preserve">           </w:t>
      </w:r>
      <w:r>
        <w:t>2.</w:t>
      </w:r>
      <w:r>
        <w:rPr>
          <w:bCs/>
        </w:rPr>
        <w:t xml:space="preserve"> Prezenta hotărîre întră în vigoare la data publicării.</w:t>
      </w:r>
    </w:p>
    <w:p w:rsidR="004670F8" w:rsidRDefault="004670F8" w:rsidP="004670F8">
      <w:pPr>
        <w:tabs>
          <w:tab w:val="left" w:pos="6600"/>
        </w:tabs>
        <w:spacing w:before="120" w:after="120"/>
        <w:ind w:right="-20"/>
        <w:rPr>
          <w:b/>
          <w:bCs/>
        </w:rPr>
      </w:pPr>
    </w:p>
    <w:p w:rsidR="004670F8" w:rsidRDefault="004670F8" w:rsidP="004670F8">
      <w:pPr>
        <w:tabs>
          <w:tab w:val="left" w:pos="6600"/>
        </w:tabs>
        <w:spacing w:before="120" w:after="120"/>
        <w:ind w:right="-20"/>
        <w:rPr>
          <w:b/>
          <w:bCs/>
        </w:rPr>
      </w:pPr>
    </w:p>
    <w:p w:rsidR="004670F8" w:rsidRDefault="004670F8" w:rsidP="004670F8">
      <w:pPr>
        <w:tabs>
          <w:tab w:val="left" w:pos="6600"/>
        </w:tabs>
        <w:spacing w:before="120" w:after="120"/>
        <w:ind w:right="-20"/>
        <w:rPr>
          <w:b/>
          <w:bCs/>
        </w:rPr>
      </w:pPr>
      <w:r>
        <w:rPr>
          <w:b/>
          <w:bCs/>
        </w:rPr>
        <w:t xml:space="preserve">            Prim-ministru</w:t>
      </w:r>
      <w:r>
        <w:rPr>
          <w:b/>
          <w:bCs/>
        </w:rPr>
        <w:tab/>
        <w:t>Natalia GAVRILIŢA</w:t>
      </w:r>
    </w:p>
    <w:p w:rsidR="004670F8" w:rsidRDefault="004670F8" w:rsidP="004670F8">
      <w:pPr>
        <w:pStyle w:val="4"/>
        <w:rPr>
          <w:b w:val="0"/>
          <w:u w:val="none"/>
          <w:lang w:val="ro-RO"/>
        </w:rPr>
      </w:pPr>
    </w:p>
    <w:p w:rsidR="004670F8" w:rsidRDefault="004670F8" w:rsidP="004670F8">
      <w:pPr>
        <w:pStyle w:val="4"/>
        <w:rPr>
          <w:u w:val="none"/>
          <w:lang w:val="ro-RO"/>
        </w:rPr>
      </w:pPr>
      <w:r>
        <w:rPr>
          <w:u w:val="none"/>
          <w:lang w:val="ro-RO"/>
        </w:rPr>
        <w:t>Contrasemnează:</w:t>
      </w:r>
    </w:p>
    <w:p w:rsidR="004670F8" w:rsidRDefault="004670F8" w:rsidP="004670F8">
      <w:pPr>
        <w:pStyle w:val="4"/>
        <w:rPr>
          <w:u w:val="none"/>
          <w:lang w:val="ro-RO"/>
        </w:rPr>
      </w:pPr>
    </w:p>
    <w:p w:rsidR="004670F8" w:rsidRDefault="004670F8" w:rsidP="004670F8">
      <w:pPr>
        <w:pStyle w:val="4"/>
        <w:rPr>
          <w:u w:val="none"/>
          <w:lang w:val="ro-RO"/>
        </w:rPr>
      </w:pPr>
      <w:r>
        <w:rPr>
          <w:u w:val="none"/>
          <w:lang w:val="ro-RO"/>
        </w:rPr>
        <w:t xml:space="preserve">Ministrul agriculturii şi </w:t>
      </w:r>
    </w:p>
    <w:p w:rsidR="004670F8" w:rsidRDefault="004670F8" w:rsidP="004670F8">
      <w:pPr>
        <w:pStyle w:val="4"/>
        <w:rPr>
          <w:u w:val="none"/>
          <w:lang w:val="ro-RO"/>
        </w:rPr>
      </w:pPr>
      <w:r>
        <w:rPr>
          <w:u w:val="none"/>
          <w:lang w:val="ro-RO"/>
        </w:rPr>
        <w:t>industriei alimentare</w:t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</w:r>
      <w:r>
        <w:rPr>
          <w:u w:val="none"/>
          <w:lang w:val="ro-RO"/>
        </w:rPr>
        <w:tab/>
        <w:t xml:space="preserve">    Viorel Gherciu</w:t>
      </w:r>
      <w:r>
        <w:rPr>
          <w:u w:val="none"/>
          <w:lang w:val="ro-RO"/>
        </w:rPr>
        <w:tab/>
      </w:r>
    </w:p>
    <w:p w:rsidR="004670F8" w:rsidRDefault="004670F8" w:rsidP="004670F8">
      <w:pPr>
        <w:pStyle w:val="4"/>
        <w:rPr>
          <w:u w:val="none"/>
          <w:lang w:val="ro-RO"/>
        </w:rPr>
      </w:pPr>
    </w:p>
    <w:p w:rsidR="004D3EE3" w:rsidRDefault="004D3EE3">
      <w:bookmarkStart w:id="1" w:name="_GoBack"/>
      <w:bookmarkEnd w:id="1"/>
    </w:p>
    <w:sectPr w:rsidR="004D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E3"/>
    <w:rsid w:val="004670F8"/>
    <w:rsid w:val="004D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C9C2-D317-409E-8878-B1FDC7FA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670F8"/>
    <w:pPr>
      <w:keepNext/>
      <w:ind w:firstLine="708"/>
      <w:outlineLvl w:val="3"/>
    </w:pPr>
    <w:rPr>
      <w:b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670F8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styleId="a3">
    <w:name w:val="Emphasis"/>
    <w:qFormat/>
    <w:rsid w:val="004670F8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Procopi</dc:creator>
  <cp:keywords/>
  <dc:description/>
  <cp:lastModifiedBy>Marina Procopi</cp:lastModifiedBy>
  <cp:revision>2</cp:revision>
  <dcterms:created xsi:type="dcterms:W3CDTF">2022-04-12T12:21:00Z</dcterms:created>
  <dcterms:modified xsi:type="dcterms:W3CDTF">2022-04-12T12:21:00Z</dcterms:modified>
</cp:coreProperties>
</file>