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8E" w:rsidRPr="00BD3738" w:rsidRDefault="0001058E" w:rsidP="0001058E">
      <w:pPr>
        <w:pStyle w:val="1"/>
        <w:ind w:right="369"/>
        <w:jc w:val="center"/>
        <w:rPr>
          <w:rFonts w:ascii="Arial" w:hAnsi="Arial"/>
          <w:noProof/>
          <w:sz w:val="24"/>
          <w:lang w:val="ro-RO"/>
        </w:rPr>
      </w:pPr>
      <w:r w:rsidRPr="00BD3738">
        <w:rPr>
          <w:rFonts w:ascii="Arial" w:hAnsi="Arial"/>
          <w:noProof/>
          <w:sz w:val="24"/>
          <w:lang w:eastAsia="ru-RU"/>
        </w:rPr>
        <w:drawing>
          <wp:inline distT="0" distB="0" distL="0" distR="0" wp14:anchorId="69458E19" wp14:editId="2C69536A">
            <wp:extent cx="588010" cy="718185"/>
            <wp:effectExtent l="0" t="0" r="2540" b="5715"/>
            <wp:docPr id="1" name="Picture 1" descr="stema-moldov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-moldove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58E" w:rsidRPr="00BD3738" w:rsidRDefault="0001058E" w:rsidP="0001058E">
      <w:pPr>
        <w:ind w:firstLine="2127"/>
        <w:jc w:val="center"/>
        <w:rPr>
          <w:rFonts w:ascii="Arial" w:hAnsi="Arial"/>
          <w:lang w:val="ro-RO"/>
        </w:rPr>
      </w:pPr>
    </w:p>
    <w:p w:rsidR="0001058E" w:rsidRPr="00BD3738" w:rsidRDefault="0001058E" w:rsidP="0001058E">
      <w:pPr>
        <w:jc w:val="center"/>
        <w:rPr>
          <w:rFonts w:ascii="Times New Roman" w:hAnsi="Times New Roman" w:cs="Times New Roman"/>
          <w:b/>
          <w:iCs/>
          <w:sz w:val="36"/>
          <w:szCs w:val="36"/>
          <w:lang w:val="ro-RO"/>
        </w:rPr>
      </w:pPr>
      <w:r w:rsidRPr="00BD3738">
        <w:rPr>
          <w:rFonts w:ascii="Times New Roman" w:hAnsi="Times New Roman" w:cs="Times New Roman"/>
          <w:b/>
          <w:iCs/>
          <w:sz w:val="36"/>
          <w:szCs w:val="36"/>
          <w:lang w:val="ro-RO"/>
        </w:rPr>
        <w:t>AGENŢIA  RELAŢII FUNCIARE ŞI CADASTRU A REPUBLICII MOLDOVA</w:t>
      </w:r>
    </w:p>
    <w:p w:rsidR="0001058E" w:rsidRPr="00BD3738" w:rsidRDefault="000036A0" w:rsidP="0001058E">
      <w:pPr>
        <w:pStyle w:val="a4"/>
        <w:jc w:val="center"/>
        <w:rPr>
          <w:b/>
          <w:i/>
          <w:sz w:val="26"/>
          <w:szCs w:val="26"/>
          <w:lang w:val="ro-RO"/>
        </w:rPr>
      </w:pPr>
      <w:r w:rsidRPr="00BD3738">
        <w:rPr>
          <w:b/>
          <w:i/>
          <w:sz w:val="26"/>
          <w:szCs w:val="26"/>
          <w:lang w:val="ro-RO"/>
        </w:rPr>
        <w:t>Ordinul nr.____</w:t>
      </w:r>
    </w:p>
    <w:p w:rsidR="0001058E" w:rsidRPr="00BD3738" w:rsidRDefault="0001058E" w:rsidP="0001058E">
      <w:pPr>
        <w:pStyle w:val="a4"/>
        <w:jc w:val="center"/>
        <w:rPr>
          <w:i/>
          <w:sz w:val="26"/>
          <w:szCs w:val="26"/>
          <w:lang w:val="ro-RO"/>
        </w:rPr>
      </w:pPr>
    </w:p>
    <w:p w:rsidR="0001058E" w:rsidRPr="00BD3738" w:rsidRDefault="0001058E" w:rsidP="0001058E">
      <w:pPr>
        <w:pStyle w:val="a4"/>
        <w:jc w:val="both"/>
        <w:rPr>
          <w:sz w:val="26"/>
          <w:szCs w:val="26"/>
          <w:lang w:val="ro-RO"/>
        </w:rPr>
      </w:pPr>
      <w:r w:rsidRPr="00BD3738">
        <w:rPr>
          <w:sz w:val="26"/>
          <w:szCs w:val="26"/>
          <w:lang w:val="ro-RO"/>
        </w:rPr>
        <w:t>“___“_____________2023</w:t>
      </w:r>
      <w:r w:rsidRPr="00BD3738">
        <w:rPr>
          <w:sz w:val="26"/>
          <w:szCs w:val="26"/>
          <w:lang w:val="ro-RO"/>
        </w:rPr>
        <w:tab/>
      </w:r>
      <w:r w:rsidRPr="00BD3738">
        <w:rPr>
          <w:sz w:val="26"/>
          <w:szCs w:val="26"/>
          <w:lang w:val="ro-RO"/>
        </w:rPr>
        <w:tab/>
        <w:t xml:space="preserve">mun. </w:t>
      </w:r>
      <w:r w:rsidR="000036A0" w:rsidRPr="00BD3738">
        <w:rPr>
          <w:sz w:val="26"/>
          <w:szCs w:val="26"/>
          <w:lang w:val="ro-RO"/>
        </w:rPr>
        <w:t>Chișinău</w:t>
      </w:r>
    </w:p>
    <w:p w:rsidR="0001058E" w:rsidRPr="00BD3738" w:rsidRDefault="0001058E" w:rsidP="0001058E">
      <w:pPr>
        <w:spacing w:line="276" w:lineRule="auto"/>
        <w:jc w:val="center"/>
        <w:rPr>
          <w:sz w:val="28"/>
          <w:lang w:val="ro-RO"/>
        </w:rPr>
      </w:pPr>
    </w:p>
    <w:p w:rsidR="0001058E" w:rsidRPr="00BD3738" w:rsidRDefault="0001058E" w:rsidP="0001058E">
      <w:pPr>
        <w:jc w:val="both"/>
        <w:rPr>
          <w:sz w:val="28"/>
          <w:lang w:val="ro-RO"/>
        </w:rPr>
      </w:pPr>
    </w:p>
    <w:p w:rsidR="0001058E" w:rsidRPr="00BD3738" w:rsidRDefault="0001058E" w:rsidP="0001058E">
      <w:pPr>
        <w:pStyle w:val="a8"/>
        <w:ind w:firstLine="567"/>
        <w:rPr>
          <w:rStyle w:val="a3"/>
          <w:b w:val="0"/>
          <w:i/>
          <w:sz w:val="20"/>
          <w:szCs w:val="20"/>
          <w:lang w:val="ro-MD"/>
        </w:rPr>
      </w:pPr>
      <w:bookmarkStart w:id="0" w:name="OLE_LINK3"/>
      <w:bookmarkStart w:id="1" w:name="OLE_LINK4"/>
      <w:bookmarkStart w:id="2" w:name="OLE_LINK13"/>
      <w:r w:rsidRPr="00BD3738">
        <w:rPr>
          <w:rStyle w:val="a3"/>
          <w:b w:val="0"/>
          <w:i/>
          <w:sz w:val="20"/>
          <w:szCs w:val="20"/>
          <w:lang w:val="ro-MD"/>
        </w:rPr>
        <w:t>,,Cu privire la modificarea Ordinului nr. 32/2016</w:t>
      </w:r>
    </w:p>
    <w:p w:rsidR="0001058E" w:rsidRPr="00BD3738" w:rsidRDefault="0001058E" w:rsidP="0001058E">
      <w:pPr>
        <w:pStyle w:val="a8"/>
        <w:ind w:firstLine="567"/>
        <w:rPr>
          <w:rStyle w:val="a3"/>
          <w:b w:val="0"/>
          <w:i/>
          <w:sz w:val="20"/>
          <w:szCs w:val="20"/>
          <w:lang w:val="ro-MD"/>
        </w:rPr>
      </w:pPr>
      <w:r w:rsidRPr="00BD3738">
        <w:rPr>
          <w:rStyle w:val="a3"/>
          <w:b w:val="0"/>
          <w:i/>
          <w:sz w:val="20"/>
          <w:szCs w:val="20"/>
          <w:lang w:val="ro-MD"/>
        </w:rPr>
        <w:t xml:space="preserve">privind aprobarea Instrucțiunii cu privire la modul </w:t>
      </w:r>
    </w:p>
    <w:p w:rsidR="0001058E" w:rsidRPr="00BD3738" w:rsidRDefault="0001058E" w:rsidP="0001058E">
      <w:pPr>
        <w:pStyle w:val="a8"/>
        <w:ind w:firstLine="567"/>
        <w:rPr>
          <w:rStyle w:val="a3"/>
          <w:b w:val="0"/>
          <w:i/>
          <w:sz w:val="20"/>
          <w:szCs w:val="20"/>
          <w:lang w:val="ro-MD"/>
        </w:rPr>
      </w:pPr>
      <w:r w:rsidRPr="00BD3738">
        <w:rPr>
          <w:rStyle w:val="a3"/>
          <w:b w:val="0"/>
          <w:i/>
          <w:sz w:val="20"/>
          <w:szCs w:val="20"/>
          <w:lang w:val="ro-MD"/>
        </w:rPr>
        <w:t xml:space="preserve">de executare a observațiilor cu utilizarea sistemului </w:t>
      </w:r>
    </w:p>
    <w:p w:rsidR="0001058E" w:rsidRPr="00BD3738" w:rsidRDefault="0001058E" w:rsidP="0001058E">
      <w:pPr>
        <w:pStyle w:val="a8"/>
        <w:ind w:firstLine="567"/>
        <w:rPr>
          <w:rStyle w:val="a3"/>
          <w:bCs w:val="0"/>
          <w:lang w:val="ro-MD"/>
        </w:rPr>
      </w:pPr>
      <w:r w:rsidRPr="00BD3738">
        <w:rPr>
          <w:rStyle w:val="a3"/>
          <w:b w:val="0"/>
          <w:i/>
          <w:sz w:val="20"/>
          <w:szCs w:val="20"/>
          <w:lang w:val="ro-MD"/>
        </w:rPr>
        <w:t>satelitar de navigare globală (GNSS)</w:t>
      </w:r>
      <w:r w:rsidRPr="00BD3738">
        <w:rPr>
          <w:i/>
          <w:sz w:val="20"/>
          <w:lang w:val="ro-MD"/>
        </w:rPr>
        <w:t>”</w:t>
      </w:r>
    </w:p>
    <w:p w:rsidR="0001058E" w:rsidRPr="00BD3738" w:rsidRDefault="0001058E" w:rsidP="0001058E">
      <w:pPr>
        <w:pStyle w:val="a8"/>
        <w:ind w:firstLine="567"/>
        <w:rPr>
          <w:i/>
          <w:sz w:val="20"/>
          <w:szCs w:val="20"/>
          <w:lang w:val="ro-MD"/>
        </w:rPr>
      </w:pPr>
    </w:p>
    <w:p w:rsidR="0001058E" w:rsidRPr="00BD3738" w:rsidRDefault="0001058E" w:rsidP="0001058E">
      <w:pPr>
        <w:pStyle w:val="a6"/>
        <w:spacing w:line="276" w:lineRule="auto"/>
        <w:ind w:right="-58" w:firstLine="567"/>
        <w:jc w:val="both"/>
        <w:rPr>
          <w:sz w:val="28"/>
          <w:szCs w:val="28"/>
          <w:lang w:val="ro-MD"/>
        </w:rPr>
      </w:pPr>
      <w:r w:rsidRPr="00BD3738">
        <w:rPr>
          <w:sz w:val="28"/>
          <w:szCs w:val="28"/>
          <w:lang w:val="ro-MD"/>
        </w:rPr>
        <w:t>În temeiul art.16 al Legii nr. 100/2017 cu privire la actele normative (Monitorul Oficial al Republicii Moldova, 2018, nr. 7 – 17, art. 34),</w:t>
      </w:r>
      <w:r w:rsidR="006B4B02" w:rsidRPr="00BD3738">
        <w:rPr>
          <w:sz w:val="28"/>
          <w:szCs w:val="28"/>
          <w:lang w:val="ro-MD"/>
        </w:rPr>
        <w:t xml:space="preserve"> </w:t>
      </w:r>
      <w:r w:rsidR="006B4B02" w:rsidRPr="00BD3738">
        <w:rPr>
          <w:bCs/>
          <w:sz w:val="28"/>
          <w:szCs w:val="28"/>
          <w:lang w:val="ro-RO" w:eastAsia="ro-RO"/>
        </w:rPr>
        <w:t>cu modificările ulterioare,</w:t>
      </w:r>
    </w:p>
    <w:p w:rsidR="0001058E" w:rsidRPr="00BD3738" w:rsidRDefault="0001058E" w:rsidP="00BD3738">
      <w:pPr>
        <w:pStyle w:val="a8"/>
        <w:spacing w:line="276" w:lineRule="auto"/>
        <w:ind w:firstLine="567"/>
        <w:jc w:val="center"/>
        <w:rPr>
          <w:b/>
          <w:sz w:val="26"/>
          <w:szCs w:val="26"/>
          <w:lang w:val="ro-MD"/>
        </w:rPr>
      </w:pPr>
      <w:bookmarkStart w:id="3" w:name="OLE_LINK5"/>
      <w:bookmarkStart w:id="4" w:name="OLE_LINK6"/>
      <w:bookmarkEnd w:id="0"/>
      <w:bookmarkEnd w:id="1"/>
      <w:bookmarkEnd w:id="2"/>
      <w:r w:rsidRPr="00BD3738">
        <w:rPr>
          <w:b/>
          <w:sz w:val="26"/>
          <w:szCs w:val="26"/>
          <w:lang w:val="ro-MD"/>
        </w:rPr>
        <w:t>ORDON:</w:t>
      </w:r>
      <w:bookmarkEnd w:id="3"/>
      <w:bookmarkEnd w:id="4"/>
    </w:p>
    <w:p w:rsidR="009644A1" w:rsidRPr="00BD3738" w:rsidRDefault="00EB3B77" w:rsidP="00BD3738">
      <w:pPr>
        <w:pStyle w:val="a8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>În</w:t>
      </w:r>
      <w:r w:rsidR="0001058E" w:rsidRPr="00BD3738">
        <w:rPr>
          <w:sz w:val="28"/>
          <w:szCs w:val="28"/>
          <w:lang w:val="ro-RO"/>
        </w:rPr>
        <w:t xml:space="preserve"> Ordin:</w:t>
      </w:r>
    </w:p>
    <w:p w:rsidR="002629CE" w:rsidRPr="00BD3738" w:rsidRDefault="002629CE" w:rsidP="00BD3738">
      <w:pPr>
        <w:pStyle w:val="a8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lang w:val="ro-RO"/>
        </w:rPr>
      </w:pPr>
      <w:r w:rsidRPr="00BD3738">
        <w:rPr>
          <w:sz w:val="28"/>
          <w:lang w:val="ro-RO"/>
        </w:rPr>
        <w:t>Pct. 2 înlocuirea sintagmei ”</w:t>
      </w:r>
      <w:r w:rsidRPr="00BD3738">
        <w:rPr>
          <w:sz w:val="28"/>
          <w:shd w:val="clear" w:color="auto" w:fill="FFFFFF"/>
          <w:lang w:val="ro-RO"/>
        </w:rPr>
        <w:t xml:space="preserve">posesorii şi utilizatorii tehnologiilor de </w:t>
      </w:r>
      <w:r w:rsidR="001527E1" w:rsidRPr="00BD3738">
        <w:rPr>
          <w:sz w:val="28"/>
          <w:shd w:val="clear" w:color="auto" w:fill="FFFFFF"/>
          <w:lang w:val="ro-RO"/>
        </w:rPr>
        <w:t>poziționare</w:t>
      </w:r>
      <w:r w:rsidRPr="00BD3738">
        <w:rPr>
          <w:sz w:val="28"/>
          <w:shd w:val="clear" w:color="auto" w:fill="FFFFFF"/>
          <w:lang w:val="ro-RO"/>
        </w:rPr>
        <w:t xml:space="preserve"> GNSS” cu sintagma ”executorii lucrărilor topo</w:t>
      </w:r>
      <w:r w:rsidR="001527E1" w:rsidRPr="00BD3738">
        <w:rPr>
          <w:sz w:val="28"/>
          <w:shd w:val="clear" w:color="auto" w:fill="FFFFFF"/>
          <w:lang w:val="ro-RO"/>
        </w:rPr>
        <w:t>-</w:t>
      </w:r>
      <w:r w:rsidRPr="00BD3738">
        <w:rPr>
          <w:sz w:val="28"/>
          <w:shd w:val="clear" w:color="auto" w:fill="FFFFFF"/>
          <w:lang w:val="ro-RO"/>
        </w:rPr>
        <w:t>geodezice, cartografice și cadastrale</w:t>
      </w:r>
      <w:r w:rsidR="00BD3738" w:rsidRPr="00BD3738">
        <w:rPr>
          <w:sz w:val="28"/>
          <w:shd w:val="clear" w:color="auto" w:fill="FFFFFF"/>
          <w:lang w:val="ro-RO"/>
        </w:rPr>
        <w:t xml:space="preserve"> ce utilizează tehnologia GNSS”</w:t>
      </w:r>
    </w:p>
    <w:p w:rsidR="002629CE" w:rsidRPr="00BD3738" w:rsidRDefault="009644A1" w:rsidP="00BD3738">
      <w:pPr>
        <w:pStyle w:val="a8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>Pct. 5 cuvintele ,,Inspectoratului de Stat pentru Supravegherea Geodezică, Tehnică şi Regim” se substituie cu cuvintele ,,Agenția pentru Supraveghere Tehnică”.</w:t>
      </w:r>
    </w:p>
    <w:p w:rsidR="0001058E" w:rsidRPr="00BD3738" w:rsidRDefault="00EB3B77" w:rsidP="00BD3738">
      <w:pPr>
        <w:pStyle w:val="a8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>În</w:t>
      </w:r>
      <w:r w:rsidR="0001058E" w:rsidRPr="00BD3738">
        <w:rPr>
          <w:sz w:val="28"/>
          <w:szCs w:val="28"/>
          <w:lang w:val="ro-RO"/>
        </w:rPr>
        <w:t xml:space="preserve"> Instrucțiune:</w:t>
      </w:r>
    </w:p>
    <w:p w:rsidR="0001058E" w:rsidRPr="00BD3738" w:rsidRDefault="00EB3B77" w:rsidP="00BD3738">
      <w:pPr>
        <w:pStyle w:val="a8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>La pct</w:t>
      </w:r>
      <w:r w:rsidR="009644A1" w:rsidRPr="00BD3738">
        <w:rPr>
          <w:sz w:val="28"/>
          <w:szCs w:val="28"/>
          <w:lang w:val="ro-RO"/>
        </w:rPr>
        <w:t>. 1 cuvintele ,,ISSGTR – Inspectoratului de Stat pentru Supravegherea Geodezică, Tehnică şi Regim”</w:t>
      </w:r>
      <w:r w:rsidR="00A47E68" w:rsidRPr="00BD3738">
        <w:rPr>
          <w:sz w:val="28"/>
          <w:szCs w:val="28"/>
          <w:lang w:val="ro-RO"/>
        </w:rPr>
        <w:t xml:space="preserve"> se substituie cu cuvintele ,,AST – Agenția pentru Supraveghere Tehnică” </w:t>
      </w:r>
      <w:r w:rsidR="000036A0" w:rsidRPr="00BD3738">
        <w:rPr>
          <w:sz w:val="28"/>
          <w:szCs w:val="28"/>
          <w:lang w:val="ro-RO"/>
        </w:rPr>
        <w:t xml:space="preserve">și </w:t>
      </w:r>
      <w:r w:rsidR="00A47E68" w:rsidRPr="00BD3738">
        <w:rPr>
          <w:sz w:val="28"/>
          <w:szCs w:val="28"/>
          <w:lang w:val="ro-RO"/>
        </w:rPr>
        <w:t>pe tot textul Instrucțiunii.</w:t>
      </w:r>
    </w:p>
    <w:p w:rsidR="00731D7C" w:rsidRPr="00BD3738" w:rsidRDefault="00A47E68" w:rsidP="00BD3738">
      <w:pPr>
        <w:pStyle w:val="a8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>La pct. 2 cuvintele ,,la ISSGTR” se substituie cu cuvintele ,,în Registrul de stat al lucrărilor topografo geodezice”</w:t>
      </w:r>
      <w:r w:rsidR="00EB3B77" w:rsidRPr="00BD3738">
        <w:rPr>
          <w:sz w:val="28"/>
          <w:szCs w:val="28"/>
          <w:lang w:val="ro-RO"/>
        </w:rPr>
        <w:t>.</w:t>
      </w:r>
    </w:p>
    <w:p w:rsidR="00EB3B77" w:rsidRPr="00BD3738" w:rsidRDefault="00731D7C" w:rsidP="00BD3738">
      <w:pPr>
        <w:pStyle w:val="a8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>La pct. 7 cuvintul ”utilaj” se substituie cu sintagma ”</w:t>
      </w:r>
      <w:r w:rsidRPr="00BD3738">
        <w:rPr>
          <w:rFonts w:eastAsia="Calibri"/>
          <w:sz w:val="28"/>
          <w:szCs w:val="28"/>
          <w:lang w:val="ro-RO"/>
        </w:rPr>
        <w:t xml:space="preserve"> receptoare ale GNSS” </w:t>
      </w:r>
      <w:r w:rsidR="00B3230F" w:rsidRPr="00BD3738">
        <w:rPr>
          <w:sz w:val="28"/>
          <w:szCs w:val="28"/>
          <w:lang w:val="ro-RO"/>
        </w:rPr>
        <w:t>Punctul</w:t>
      </w:r>
      <w:r w:rsidR="00EB3B77" w:rsidRPr="00BD3738">
        <w:rPr>
          <w:sz w:val="28"/>
          <w:szCs w:val="28"/>
          <w:lang w:val="ro-RO"/>
        </w:rPr>
        <w:t xml:space="preserve"> 15, subpct. 5</w:t>
      </w:r>
      <w:r w:rsidR="008B7B3C" w:rsidRPr="00BD3738">
        <w:rPr>
          <w:sz w:val="28"/>
          <w:szCs w:val="28"/>
          <w:lang w:val="ro-RO"/>
        </w:rPr>
        <w:t>)</w:t>
      </w:r>
      <w:r w:rsidR="00EB3B77" w:rsidRPr="00BD3738">
        <w:rPr>
          <w:sz w:val="28"/>
          <w:szCs w:val="28"/>
          <w:lang w:val="ro-RO"/>
        </w:rPr>
        <w:t xml:space="preserve"> va avea următorul cuprins:</w:t>
      </w:r>
    </w:p>
    <w:p w:rsidR="005D59D9" w:rsidRPr="00BD3738" w:rsidRDefault="005D59D9" w:rsidP="00BD3738">
      <w:pPr>
        <w:pStyle w:val="a8"/>
        <w:tabs>
          <w:tab w:val="left" w:pos="851"/>
        </w:tabs>
        <w:spacing w:line="276" w:lineRule="auto"/>
        <w:ind w:firstLine="567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 xml:space="preserve">,,Certificatul topo-geodezic și cartografic </w:t>
      </w:r>
      <w:r w:rsidR="001527E1" w:rsidRPr="00BD3738">
        <w:rPr>
          <w:sz w:val="28"/>
          <w:szCs w:val="28"/>
          <w:lang w:val="ro-RO"/>
        </w:rPr>
        <w:t xml:space="preserve">cu categoria corespunzătoare </w:t>
      </w:r>
      <w:r w:rsidRPr="00BD3738">
        <w:rPr>
          <w:sz w:val="28"/>
          <w:szCs w:val="28"/>
          <w:lang w:val="ro-RO"/>
        </w:rPr>
        <w:t>al administratorului SP/RSP sau al reprezentantului acestuia”</w:t>
      </w:r>
    </w:p>
    <w:p w:rsidR="00B3230F" w:rsidRPr="00BD3738" w:rsidRDefault="00B3230F" w:rsidP="00BD3738">
      <w:pPr>
        <w:pStyle w:val="a8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lastRenderedPageBreak/>
        <w:t>Punctul 15 se completează cu subpct. 6) cu următorul cuprins:</w:t>
      </w:r>
    </w:p>
    <w:p w:rsidR="00B3230F" w:rsidRPr="00BD3738" w:rsidRDefault="00B3230F" w:rsidP="00BD3738">
      <w:pPr>
        <w:pStyle w:val="a8"/>
        <w:tabs>
          <w:tab w:val="left" w:pos="851"/>
        </w:tabs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>,,6)</w:t>
      </w:r>
      <w:r w:rsidR="006B4B02" w:rsidRPr="00BD3738">
        <w:rPr>
          <w:sz w:val="28"/>
          <w:szCs w:val="28"/>
          <w:lang w:val="ro-RO"/>
        </w:rPr>
        <w:t xml:space="preserve"> Extrasul din Registrul de stat al întreprinzătorilor individuali sau juridici pentru </w:t>
      </w:r>
      <w:r w:rsidR="00CD6DE4" w:rsidRPr="00BD3738">
        <w:rPr>
          <w:sz w:val="28"/>
          <w:szCs w:val="28"/>
          <w:lang w:val="ro-RO"/>
        </w:rPr>
        <w:t xml:space="preserve">administratorii </w:t>
      </w:r>
      <w:r w:rsidR="006B4B02" w:rsidRPr="00BD3738">
        <w:rPr>
          <w:sz w:val="28"/>
          <w:szCs w:val="28"/>
          <w:lang w:val="ro-RO"/>
        </w:rPr>
        <w:t>de SP sau RSP.”</w:t>
      </w:r>
    </w:p>
    <w:p w:rsidR="008B7B3C" w:rsidRPr="00BD3738" w:rsidRDefault="008B7B3C" w:rsidP="00BD3738">
      <w:pPr>
        <w:pStyle w:val="a8"/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 xml:space="preserve">Punctul 16, subpct. 2), lit. b) </w:t>
      </w:r>
      <w:r w:rsidR="001527E1" w:rsidRPr="00BD3738">
        <w:rPr>
          <w:sz w:val="28"/>
          <w:szCs w:val="28"/>
          <w:lang w:val="ro-RO"/>
        </w:rPr>
        <w:t>se exclude.</w:t>
      </w:r>
    </w:p>
    <w:p w:rsidR="0001058E" w:rsidRPr="00BD3738" w:rsidRDefault="0001058E" w:rsidP="00BD3738">
      <w:pPr>
        <w:pStyle w:val="a8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>Prezentul ordin se publică în Monitorul Oficial al Republicii Moldova.</w:t>
      </w:r>
    </w:p>
    <w:p w:rsidR="0001058E" w:rsidRPr="00BD3738" w:rsidRDefault="0001058E" w:rsidP="00BD3738">
      <w:pPr>
        <w:pStyle w:val="a8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rPr>
          <w:sz w:val="28"/>
          <w:szCs w:val="28"/>
          <w:lang w:val="ro-RO"/>
        </w:rPr>
      </w:pPr>
      <w:r w:rsidRPr="00BD3738">
        <w:rPr>
          <w:sz w:val="28"/>
          <w:szCs w:val="28"/>
          <w:lang w:val="ro-RO"/>
        </w:rPr>
        <w:t>Controlul asupra executării prezentul ordin mi-l asum.</w:t>
      </w:r>
    </w:p>
    <w:p w:rsidR="005F3B51" w:rsidRPr="00BD3738" w:rsidRDefault="005F3B51">
      <w:pPr>
        <w:ind w:firstLine="567"/>
        <w:rPr>
          <w:rFonts w:ascii="Times New Roman" w:hAnsi="Times New Roman" w:cs="Times New Roman"/>
        </w:rPr>
      </w:pPr>
    </w:p>
    <w:p w:rsidR="005F3B51" w:rsidRPr="00BD3738" w:rsidRDefault="005F3B51">
      <w:pPr>
        <w:ind w:firstLine="567"/>
        <w:rPr>
          <w:rFonts w:ascii="Times New Roman" w:hAnsi="Times New Roman" w:cs="Times New Roman"/>
        </w:rPr>
      </w:pPr>
    </w:p>
    <w:p w:rsidR="005F3B51" w:rsidRDefault="005F3B51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  <w:r w:rsidRPr="00BD3738">
        <w:rPr>
          <w:rFonts w:ascii="Times New Roman" w:hAnsi="Times New Roman" w:cs="Times New Roman"/>
          <w:b/>
          <w:sz w:val="28"/>
          <w:lang w:val="ro-RO"/>
        </w:rPr>
        <w:t>Director general adjunct</w:t>
      </w:r>
      <w:r w:rsidRPr="00BD3738">
        <w:rPr>
          <w:rFonts w:ascii="Times New Roman" w:hAnsi="Times New Roman" w:cs="Times New Roman"/>
          <w:b/>
          <w:sz w:val="28"/>
          <w:lang w:val="ro-RO"/>
        </w:rPr>
        <w:tab/>
      </w:r>
      <w:r w:rsidRPr="00BD3738">
        <w:rPr>
          <w:rFonts w:ascii="Times New Roman" w:hAnsi="Times New Roman" w:cs="Times New Roman"/>
          <w:b/>
          <w:sz w:val="28"/>
          <w:lang w:val="ro-RO"/>
        </w:rPr>
        <w:tab/>
      </w:r>
      <w:r w:rsidRPr="00BD3738">
        <w:rPr>
          <w:rFonts w:ascii="Times New Roman" w:hAnsi="Times New Roman" w:cs="Times New Roman"/>
          <w:b/>
          <w:sz w:val="28"/>
          <w:lang w:val="ro-RO"/>
        </w:rPr>
        <w:tab/>
      </w:r>
      <w:r w:rsidRPr="00BD3738">
        <w:rPr>
          <w:rFonts w:ascii="Times New Roman" w:hAnsi="Times New Roman" w:cs="Times New Roman"/>
          <w:b/>
          <w:sz w:val="28"/>
          <w:lang w:val="ro-RO"/>
        </w:rPr>
        <w:tab/>
      </w:r>
      <w:r w:rsidRPr="00BD3738">
        <w:rPr>
          <w:rFonts w:ascii="Times New Roman" w:hAnsi="Times New Roman" w:cs="Times New Roman"/>
          <w:b/>
          <w:sz w:val="28"/>
          <w:lang w:val="ro-RO"/>
        </w:rPr>
        <w:tab/>
      </w:r>
      <w:r w:rsidRPr="00BD3738">
        <w:rPr>
          <w:rFonts w:ascii="Times New Roman" w:hAnsi="Times New Roman" w:cs="Times New Roman"/>
          <w:b/>
          <w:sz w:val="28"/>
          <w:lang w:val="ro-RO"/>
        </w:rPr>
        <w:tab/>
        <w:t>Ștefan CRIGAN</w:t>
      </w: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CB0C6E" w:rsidRPr="00CB0C6E" w:rsidRDefault="00CB0C6E" w:rsidP="00CB0C6E">
      <w:pPr>
        <w:pStyle w:val="a8"/>
        <w:jc w:val="center"/>
        <w:rPr>
          <w:b/>
          <w:lang w:val="en-US"/>
        </w:rPr>
      </w:pPr>
      <w:proofErr w:type="spellStart"/>
      <w:r w:rsidRPr="00CB0C6E">
        <w:rPr>
          <w:b/>
          <w:lang w:val="en-US"/>
        </w:rPr>
        <w:t>Notă</w:t>
      </w:r>
      <w:proofErr w:type="spellEnd"/>
      <w:r w:rsidRPr="00CB0C6E">
        <w:rPr>
          <w:b/>
          <w:lang w:val="en-US"/>
        </w:rPr>
        <w:t xml:space="preserve"> </w:t>
      </w:r>
      <w:proofErr w:type="spellStart"/>
      <w:r w:rsidRPr="00CB0C6E">
        <w:rPr>
          <w:b/>
          <w:lang w:val="en-US"/>
        </w:rPr>
        <w:t>informativă</w:t>
      </w:r>
      <w:proofErr w:type="spellEnd"/>
    </w:p>
    <w:p w:rsidR="00CB0C6E" w:rsidRPr="00CB0C6E" w:rsidRDefault="00CB0C6E" w:rsidP="00CB0C6E">
      <w:pPr>
        <w:pStyle w:val="a8"/>
        <w:jc w:val="center"/>
        <w:rPr>
          <w:b/>
          <w:bCs/>
          <w:lang w:val="ro-RO"/>
        </w:rPr>
      </w:pPr>
      <w:bookmarkStart w:id="5" w:name="_Hlk65487951"/>
      <w:r w:rsidRPr="00CB0C6E">
        <w:rPr>
          <w:b/>
          <w:bCs/>
          <w:lang w:val="ro-RO"/>
        </w:rPr>
        <w:t xml:space="preserve">la proiectul </w:t>
      </w:r>
      <w:r w:rsidRPr="00CB0C6E">
        <w:rPr>
          <w:b/>
          <w:lang w:val="ro-RO"/>
        </w:rPr>
        <w:t xml:space="preserve">de </w:t>
      </w:r>
      <w:r w:rsidRPr="00CB0C6E">
        <w:rPr>
          <w:b/>
          <w:bCs/>
          <w:lang w:val="ro-RO"/>
        </w:rPr>
        <w:t>ordin pentru modificarea Ordinului nr. 32/2016 privind aprobarea Instrucțiunii cu privire la modul de executare a observațiilor cu utilizarea sistemului satelitar de navigare globală (GNSS)</w:t>
      </w:r>
    </w:p>
    <w:p w:rsidR="00CB0C6E" w:rsidRPr="00CB0C6E" w:rsidRDefault="00CB0C6E" w:rsidP="00CB0C6E">
      <w:pPr>
        <w:pStyle w:val="a8"/>
        <w:jc w:val="center"/>
        <w:rPr>
          <w:b/>
          <w:bCs/>
          <w:lang w:val="ro-RO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CB0C6E" w:rsidRPr="00CB0C6E" w:rsidTr="00C27128">
        <w:tc>
          <w:tcPr>
            <w:tcW w:w="10490" w:type="dxa"/>
            <w:shd w:val="clear" w:color="auto" w:fill="auto"/>
          </w:tcPr>
          <w:bookmarkEnd w:id="5"/>
          <w:p w:rsidR="00CB0C6E" w:rsidRPr="00CB0C6E" w:rsidRDefault="00CB0C6E" w:rsidP="00C27128">
            <w:pPr>
              <w:pStyle w:val="2"/>
              <w:rPr>
                <w:rFonts w:ascii="Times New Roman" w:hAnsi="Times New Roman" w:cs="Times New Roman"/>
                <w:szCs w:val="24"/>
              </w:rPr>
            </w:pPr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1.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Denumirea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autorului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și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după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caz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, a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participanților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la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elaborarea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proiectului</w:t>
            </w:r>
            <w:proofErr w:type="spellEnd"/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ind w:firstLine="175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Agenția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Relații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Funciare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și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Cadastru</w:t>
            </w:r>
            <w:proofErr w:type="spellEnd"/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rPr>
                <w:rFonts w:ascii="Times New Roman" w:hAnsi="Times New Roman" w:cs="Times New Roman"/>
                <w:szCs w:val="24"/>
              </w:rPr>
            </w:pPr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2.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Condiţiile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ce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au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impus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elaborarea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proiectului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şi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finalităţile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urmărite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Default"/>
              <w:jc w:val="both"/>
              <w:rPr>
                <w:lang w:val="ro-MD" w:eastAsia="zh-CN" w:bidi="mn-Mong-CN"/>
              </w:rPr>
            </w:pPr>
            <w:r w:rsidRPr="00CB0C6E">
              <w:rPr>
                <w:lang w:val="ro-MD"/>
              </w:rPr>
              <w:t xml:space="preserve">Prezentul proiect de ordin modifică Ordinul nr. 32/2016 privind aprobarea Instrucțiunii cu privire la modul de executare a observațiilor cu utilizarea sistemului satelitar de navigare globală (GNSS) (Monitorul Oficial al Republicii Moldova, Nr. 79-89 art. 468) și are ca scop modificarea unor puncte din ordin și din instrucțiune prin </w:t>
            </w:r>
            <w:r w:rsidRPr="00CB0C6E">
              <w:rPr>
                <w:lang w:val="ro-MD" w:eastAsia="zh-CN" w:bidi="mn-Mong-CN"/>
              </w:rPr>
              <w:t>î</w:t>
            </w:r>
            <w:proofErr w:type="spellStart"/>
            <w:r w:rsidRPr="00CB0C6E">
              <w:rPr>
                <w:lang w:eastAsia="zh-CN" w:bidi="mn-Mong-CN"/>
              </w:rPr>
              <w:t>nlocuirea</w:t>
            </w:r>
            <w:proofErr w:type="spellEnd"/>
            <w:r w:rsidRPr="00CB0C6E">
              <w:rPr>
                <w:lang w:eastAsia="zh-CN" w:bidi="mn-Mong-CN"/>
              </w:rPr>
              <w:t xml:space="preserve"> </w:t>
            </w:r>
            <w:proofErr w:type="spellStart"/>
            <w:r w:rsidRPr="00CB0C6E">
              <w:rPr>
                <w:lang w:eastAsia="zh-CN" w:bidi="mn-Mong-CN"/>
              </w:rPr>
              <w:t>licenţ</w:t>
            </w:r>
            <w:proofErr w:type="spellEnd"/>
            <w:r w:rsidRPr="00CB0C6E">
              <w:rPr>
                <w:lang w:val="ro-MD" w:eastAsia="zh-CN" w:bidi="mn-Mong-CN"/>
              </w:rPr>
              <w:t>ei</w:t>
            </w:r>
            <w:r w:rsidRPr="00CB0C6E">
              <w:rPr>
                <w:lang w:eastAsia="zh-CN" w:bidi="mn-Mong-CN"/>
              </w:rPr>
              <w:t xml:space="preserve"> </w:t>
            </w:r>
            <w:proofErr w:type="spellStart"/>
            <w:r w:rsidRPr="00CB0C6E">
              <w:rPr>
                <w:lang w:eastAsia="zh-CN" w:bidi="mn-Mong-CN"/>
              </w:rPr>
              <w:t>pentru</w:t>
            </w:r>
            <w:proofErr w:type="spellEnd"/>
            <w:r w:rsidRPr="00CB0C6E">
              <w:rPr>
                <w:lang w:eastAsia="zh-CN" w:bidi="mn-Mong-CN"/>
              </w:rPr>
              <w:t xml:space="preserve"> </w:t>
            </w:r>
            <w:proofErr w:type="spellStart"/>
            <w:r w:rsidRPr="00CB0C6E">
              <w:rPr>
                <w:lang w:eastAsia="zh-CN" w:bidi="mn-Mong-CN"/>
              </w:rPr>
              <w:t>activitatea</w:t>
            </w:r>
            <w:proofErr w:type="spellEnd"/>
            <w:r w:rsidRPr="00CB0C6E">
              <w:rPr>
                <w:lang w:val="ro-MD" w:eastAsia="zh-CN" w:bidi="mn-Mong-CN"/>
              </w:rPr>
              <w:t xml:space="preserve"> cu deținerea actului permisiv certificatul topogeodezic și cartografic, dar și excluderea controlului metrologic pentru </w:t>
            </w:r>
            <w:r w:rsidRPr="00CB0C6E">
              <w:rPr>
                <w:lang w:val="ru-RU" w:eastAsia="zh-CN" w:bidi="mn-Mong-CN"/>
              </w:rPr>
              <w:t>SP/RSP</w:t>
            </w:r>
            <w:r w:rsidRPr="00CB0C6E">
              <w:rPr>
                <w:lang w:val="ro-MD" w:eastAsia="zh-CN" w:bidi="mn-Mong-CN"/>
              </w:rPr>
              <w:t xml:space="preserve"> în conformitate cu principiile europene EUPOS și </w:t>
            </w:r>
            <w:r w:rsidRPr="00CB0C6E">
              <w:rPr>
                <w:lang w:val="ro-RO" w:eastAsia="zh-CN" w:bidi="mn-Mong-CN"/>
              </w:rPr>
              <w:t xml:space="preserve">va respecta notiunea din pozitia 11.3 a </w:t>
            </w:r>
            <w:proofErr w:type="spellStart"/>
            <w:r w:rsidRPr="00CB0C6E">
              <w:rPr>
                <w:lang w:val="ru-RU" w:eastAsia="zh-CN" w:bidi="mn-Mong-CN"/>
              </w:rPr>
              <w:t>Listei</w:t>
            </w:r>
            <w:proofErr w:type="spellEnd"/>
            <w:r w:rsidRPr="00CB0C6E">
              <w:rPr>
                <w:lang w:val="ru-RU" w:eastAsia="zh-CN" w:bidi="mn-Mong-CN"/>
              </w:rPr>
              <w:t xml:space="preserve"> </w:t>
            </w:r>
            <w:proofErr w:type="spellStart"/>
            <w:r w:rsidRPr="00CB0C6E">
              <w:rPr>
                <w:lang w:val="ru-RU" w:eastAsia="zh-CN" w:bidi="mn-Mong-CN"/>
              </w:rPr>
              <w:t>oficiale</w:t>
            </w:r>
            <w:proofErr w:type="spellEnd"/>
            <w:r w:rsidRPr="00CB0C6E">
              <w:rPr>
                <w:lang w:val="ru-RU" w:eastAsia="zh-CN" w:bidi="mn-Mong-CN"/>
              </w:rPr>
              <w:t xml:space="preserve"> a </w:t>
            </w:r>
            <w:proofErr w:type="spellStart"/>
            <w:r w:rsidRPr="00CB0C6E">
              <w:rPr>
                <w:lang w:val="ru-RU" w:eastAsia="zh-CN" w:bidi="mn-Mong-CN"/>
              </w:rPr>
              <w:t>mijloacelor</w:t>
            </w:r>
            <w:proofErr w:type="spellEnd"/>
            <w:r w:rsidRPr="00CB0C6E">
              <w:rPr>
                <w:lang w:val="ru-RU" w:eastAsia="zh-CN" w:bidi="mn-Mong-CN"/>
              </w:rPr>
              <w:t xml:space="preserve"> </w:t>
            </w:r>
            <w:proofErr w:type="spellStart"/>
            <w:r w:rsidRPr="00CB0C6E">
              <w:rPr>
                <w:lang w:val="ru-RU" w:eastAsia="zh-CN" w:bidi="mn-Mong-CN"/>
              </w:rPr>
              <w:t>de</w:t>
            </w:r>
            <w:proofErr w:type="spellEnd"/>
            <w:r w:rsidRPr="00CB0C6E">
              <w:rPr>
                <w:lang w:val="ru-RU" w:eastAsia="zh-CN" w:bidi="mn-Mong-CN"/>
              </w:rPr>
              <w:t xml:space="preserve"> </w:t>
            </w:r>
            <w:proofErr w:type="spellStart"/>
            <w:r w:rsidRPr="00CB0C6E">
              <w:rPr>
                <w:lang w:val="ru-RU" w:eastAsia="zh-CN" w:bidi="mn-Mong-CN"/>
              </w:rPr>
              <w:t>măsurare</w:t>
            </w:r>
            <w:proofErr w:type="spellEnd"/>
            <w:r w:rsidRPr="00CB0C6E">
              <w:rPr>
                <w:lang w:val="ru-RU" w:eastAsia="zh-CN" w:bidi="mn-Mong-CN"/>
              </w:rPr>
              <w:t xml:space="preserve"> </w:t>
            </w:r>
            <w:proofErr w:type="spellStart"/>
            <w:r w:rsidRPr="00CB0C6E">
              <w:rPr>
                <w:lang w:val="ru-RU" w:eastAsia="zh-CN" w:bidi="mn-Mong-CN"/>
              </w:rPr>
              <w:t>şi</w:t>
            </w:r>
            <w:proofErr w:type="spellEnd"/>
            <w:r w:rsidRPr="00CB0C6E">
              <w:rPr>
                <w:lang w:val="ro-RO" w:eastAsia="zh-CN" w:bidi="mn-Mong-CN"/>
              </w:rPr>
              <w:t xml:space="preserve"> </w:t>
            </w:r>
            <w:r w:rsidRPr="00CB0C6E">
              <w:rPr>
                <w:lang w:val="ru-RU" w:eastAsia="zh-CN" w:bidi="mn-Mong-CN"/>
              </w:rPr>
              <w:t xml:space="preserve">a </w:t>
            </w:r>
            <w:proofErr w:type="spellStart"/>
            <w:r w:rsidRPr="00CB0C6E">
              <w:rPr>
                <w:lang w:val="ru-RU" w:eastAsia="zh-CN" w:bidi="mn-Mong-CN"/>
              </w:rPr>
              <w:t>măsurărilor</w:t>
            </w:r>
            <w:proofErr w:type="spellEnd"/>
            <w:r w:rsidRPr="00CB0C6E">
              <w:rPr>
                <w:lang w:val="ru-RU" w:eastAsia="zh-CN" w:bidi="mn-Mong-CN"/>
              </w:rPr>
              <w:t xml:space="preserve"> </w:t>
            </w:r>
            <w:proofErr w:type="spellStart"/>
            <w:r w:rsidRPr="00CB0C6E">
              <w:rPr>
                <w:lang w:val="ru-RU" w:eastAsia="zh-CN" w:bidi="mn-Mong-CN"/>
              </w:rPr>
              <w:t>supuse</w:t>
            </w:r>
            <w:proofErr w:type="spellEnd"/>
            <w:r w:rsidRPr="00CB0C6E">
              <w:rPr>
                <w:lang w:val="ru-RU" w:eastAsia="zh-CN" w:bidi="mn-Mong-CN"/>
              </w:rPr>
              <w:t xml:space="preserve"> </w:t>
            </w:r>
            <w:proofErr w:type="spellStart"/>
            <w:r w:rsidRPr="00CB0C6E">
              <w:rPr>
                <w:lang w:val="ru-RU" w:eastAsia="zh-CN" w:bidi="mn-Mong-CN"/>
              </w:rPr>
              <w:t>control</w:t>
            </w:r>
            <w:bookmarkStart w:id="6" w:name="_GoBack"/>
            <w:bookmarkEnd w:id="6"/>
            <w:r w:rsidRPr="00CB0C6E">
              <w:rPr>
                <w:lang w:val="ru-RU" w:eastAsia="zh-CN" w:bidi="mn-Mong-CN"/>
              </w:rPr>
              <w:t>ului</w:t>
            </w:r>
            <w:proofErr w:type="spellEnd"/>
            <w:r w:rsidRPr="00CB0C6E">
              <w:rPr>
                <w:lang w:val="ru-RU" w:eastAsia="zh-CN" w:bidi="mn-Mong-CN"/>
              </w:rPr>
              <w:t xml:space="preserve"> </w:t>
            </w:r>
            <w:proofErr w:type="spellStart"/>
            <w:r w:rsidRPr="00CB0C6E">
              <w:rPr>
                <w:lang w:val="ru-RU" w:eastAsia="zh-CN" w:bidi="mn-Mong-CN"/>
              </w:rPr>
              <w:t>metrologic</w:t>
            </w:r>
            <w:proofErr w:type="spellEnd"/>
            <w:r w:rsidRPr="00CB0C6E">
              <w:rPr>
                <w:lang w:val="ru-RU" w:eastAsia="zh-CN" w:bidi="mn-Mong-CN"/>
              </w:rPr>
              <w:t xml:space="preserve"> </w:t>
            </w:r>
            <w:proofErr w:type="spellStart"/>
            <w:r w:rsidRPr="00CB0C6E">
              <w:rPr>
                <w:lang w:val="ru-RU" w:eastAsia="zh-CN" w:bidi="mn-Mong-CN"/>
              </w:rPr>
              <w:t>legal</w:t>
            </w:r>
            <w:proofErr w:type="spellEnd"/>
            <w:r w:rsidRPr="00CB0C6E">
              <w:rPr>
                <w:lang w:val="ru-RU" w:eastAsia="zh-CN" w:bidi="mn-Mong-CN"/>
              </w:rPr>
              <w:t xml:space="preserve"> HG 1042/2016</w:t>
            </w:r>
            <w:r w:rsidRPr="00CB0C6E">
              <w:rPr>
                <w:lang w:val="ro-MD" w:eastAsia="zh-CN" w:bidi="mn-Mong-CN"/>
              </w:rPr>
              <w:t>.</w:t>
            </w:r>
            <w:r w:rsidRPr="00CB0C6E">
              <w:rPr>
                <w:lang w:val="ro-MD"/>
              </w:rPr>
              <w:t xml:space="preserve"> </w:t>
            </w:r>
          </w:p>
          <w:p w:rsidR="00CB0C6E" w:rsidRPr="00CB0C6E" w:rsidRDefault="00CB0C6E" w:rsidP="00C27128">
            <w:pPr>
              <w:ind w:firstLine="175"/>
              <w:jc w:val="both"/>
              <w:rPr>
                <w:rFonts w:ascii="Times New Roman" w:hAnsi="Times New Roman" w:cs="Times New Roman"/>
                <w:lang w:val="ro-MD" w:eastAsia="zh-CN"/>
              </w:rPr>
            </w:pP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Totodată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unele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modificări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se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fac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ca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urmare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gramStart"/>
            <w:r w:rsidRPr="00CB0C6E">
              <w:rPr>
                <w:rFonts w:ascii="Times New Roman" w:hAnsi="Times New Roman" w:cs="Times New Roman"/>
                <w:lang w:eastAsia="zh-CN"/>
              </w:rPr>
              <w:t>a</w:t>
            </w:r>
            <w:proofErr w:type="gram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ultimelor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reorganizări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făcute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la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nivel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de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Guvern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prin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prisma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reorganizării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unor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entități</w:t>
            </w:r>
            <w:proofErr w:type="spellEnd"/>
            <w:r w:rsidRPr="00CB0C6E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lang w:eastAsia="zh-CN"/>
              </w:rPr>
              <w:t>publice</w:t>
            </w:r>
            <w:proofErr w:type="spellEnd"/>
            <w:r w:rsidRPr="00CB0C6E">
              <w:rPr>
                <w:rFonts w:ascii="Times New Roman" w:hAnsi="Times New Roman" w:cs="Times New Roman"/>
                <w:lang w:val="ro-MD" w:eastAsia="zh-CN"/>
              </w:rPr>
              <w:t>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tt"/>
              <w:jc w:val="both"/>
              <w:rPr>
                <w:rFonts w:ascii="Times New Roman" w:hAnsi="Times New Roman" w:cs="Times New Roman"/>
                <w:bCs w:val="0"/>
                <w:lang w:val="ro-MD" w:eastAsia="ro-RO"/>
              </w:rPr>
            </w:pPr>
            <w:r w:rsidRPr="00CB0C6E">
              <w:rPr>
                <w:rFonts w:ascii="Times New Roman" w:hAnsi="Times New Roman" w:cs="Times New Roman"/>
                <w:bCs w:val="0"/>
                <w:lang w:val="ro-MD" w:eastAsia="ro-RO"/>
              </w:rPr>
              <w:t xml:space="preserve">3. </w:t>
            </w:r>
            <w:r w:rsidRPr="00CB0C6E">
              <w:rPr>
                <w:rFonts w:ascii="Times New Roman" w:hAnsi="Times New Roman" w:cs="Times New Roman"/>
                <w:lang w:val="ro-MD"/>
              </w:rPr>
              <w:t>Descrierea gradului de compatibilitate pentru proiectele care au ca scop armonizarea legislației naționale cu legislația Uniunii Europene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tt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lang w:val="ro-MD" w:eastAsia="ro-RO"/>
              </w:rPr>
            </w:pPr>
            <w:r w:rsidRPr="00CB0C6E">
              <w:rPr>
                <w:rFonts w:ascii="Times New Roman" w:hAnsi="Times New Roman" w:cs="Times New Roman"/>
                <w:b w:val="0"/>
                <w:bCs w:val="0"/>
                <w:lang w:val="ro-MD" w:eastAsia="ro-RO"/>
              </w:rPr>
              <w:t>Proiectul nu necesită armonizarea legislației naționale cu legislația UE.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B0C6E">
              <w:rPr>
                <w:rFonts w:ascii="Times New Roman" w:hAnsi="Times New Roman" w:cs="Times New Roman"/>
                <w:b/>
                <w:szCs w:val="24"/>
                <w:lang w:val="ro-MD"/>
              </w:rPr>
              <w:t>4. Principalele prevederi ale proiectului și evidențierea elementelor noi.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tabs>
                <w:tab w:val="left" w:pos="280"/>
              </w:tabs>
              <w:ind w:firstLine="316"/>
              <w:jc w:val="both"/>
              <w:rPr>
                <w:rFonts w:ascii="Times New Roman" w:hAnsi="Times New Roman" w:cs="Times New Roman"/>
                <w:lang w:val="ro-MD"/>
              </w:rPr>
            </w:pPr>
            <w:r w:rsidRPr="00CB0C6E">
              <w:rPr>
                <w:rFonts w:ascii="Times New Roman" w:hAnsi="Times New Roman" w:cs="Times New Roman"/>
                <w:lang w:val="ro-MD" w:eastAsia="zh-CN"/>
              </w:rPr>
              <w:t xml:space="preserve">Proiectul de ordin pentru modificarea </w:t>
            </w:r>
            <w:r w:rsidRPr="00CB0C6E">
              <w:rPr>
                <w:rFonts w:ascii="Times New Roman" w:hAnsi="Times New Roman" w:cs="Times New Roman"/>
                <w:lang w:val="ro-MD"/>
              </w:rPr>
              <w:t>Ordinului nr. 32/2016 are ca obiectiv introducerea următoarelor modificări.</w:t>
            </w:r>
          </w:p>
          <w:p w:rsidR="00CB0C6E" w:rsidRPr="00CB0C6E" w:rsidRDefault="00CB0C6E" w:rsidP="00C27128">
            <w:pPr>
              <w:ind w:firstLine="316"/>
              <w:jc w:val="both"/>
              <w:rPr>
                <w:rStyle w:val="FontStyle13"/>
                <w:lang w:val="ro-MD" w:eastAsia="ro-RO"/>
              </w:rPr>
            </w:pPr>
            <w:r w:rsidRPr="00CB0C6E">
              <w:rPr>
                <w:rStyle w:val="FontStyle13"/>
                <w:lang w:val="ro-MD" w:eastAsia="ro-RO"/>
              </w:rPr>
              <w:t xml:space="preserve">În ordin se modifică: </w:t>
            </w:r>
          </w:p>
          <w:p w:rsidR="00CB0C6E" w:rsidRPr="00CB0C6E" w:rsidRDefault="00CB0C6E" w:rsidP="00CB0C6E">
            <w:pPr>
              <w:numPr>
                <w:ilvl w:val="0"/>
                <w:numId w:val="5"/>
              </w:numPr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>Pct. 2 înlocuirea sintagmei ”posesorii şi utilizatorii tehnologiilor de poziționare GNSS” cu sintagma ”executorii lucrărilor topo-geodezice, cartografice și cadastrale ce utilizează tehnologia GNSS”</w:t>
            </w:r>
            <w:r w:rsidRPr="00CB0C6E">
              <w:rPr>
                <w:rFonts w:ascii="Times New Roman" w:hAnsi="Times New Roman" w:cs="Times New Roman"/>
                <w:bCs/>
                <w:lang w:val="ro-MD" w:eastAsia="ro-RO"/>
              </w:rPr>
              <w:t>.</w:t>
            </w:r>
          </w:p>
          <w:p w:rsidR="00CB0C6E" w:rsidRPr="00CB0C6E" w:rsidRDefault="00CB0C6E" w:rsidP="00CB0C6E">
            <w:pPr>
              <w:numPr>
                <w:ilvl w:val="0"/>
                <w:numId w:val="5"/>
              </w:numPr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>Pct. 5 cuvintele ,,Inspectoratului de Stat pentru Supravegherea Geodezică, Tehnică şi Regim” se substituie cu cuvintele ,,Agenția pentru Supraveghere Tehnică”.</w:t>
            </w:r>
          </w:p>
          <w:p w:rsidR="00CB0C6E" w:rsidRPr="00CB0C6E" w:rsidRDefault="00CB0C6E" w:rsidP="00C27128">
            <w:pPr>
              <w:ind w:firstLine="316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>În Instrucțiune:</w:t>
            </w:r>
          </w:p>
          <w:p w:rsidR="00CB0C6E" w:rsidRPr="00CB0C6E" w:rsidRDefault="00CB0C6E" w:rsidP="00CB0C6E">
            <w:pPr>
              <w:numPr>
                <w:ilvl w:val="0"/>
                <w:numId w:val="4"/>
              </w:numPr>
              <w:spacing w:after="0" w:line="240" w:lineRule="auto"/>
              <w:ind w:left="0" w:firstLine="316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>La pct. 1 cuvintele ,,ISSGTR – Inspectoratului de Stat pentru Supravegherea Geodezică, Tehnică şi Regim” se substituie cu cuvintele ,,AST – Agenția pentru Supraveghere Tehnică” și pe tot textul Instrucțiunii.</w:t>
            </w:r>
          </w:p>
          <w:p w:rsidR="00CB0C6E" w:rsidRPr="00CB0C6E" w:rsidRDefault="00CB0C6E" w:rsidP="00CB0C6E">
            <w:pPr>
              <w:numPr>
                <w:ilvl w:val="0"/>
                <w:numId w:val="4"/>
              </w:numPr>
              <w:spacing w:after="0" w:line="240" w:lineRule="auto"/>
              <w:ind w:left="0" w:firstLine="458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>La pct. 2 cuvintele ,,la ISSGTR” se substituie cu cuvintele ,,în Registrul de stat al lucrărilor topografo geodezice”.</w:t>
            </w:r>
          </w:p>
          <w:p w:rsidR="00CB0C6E" w:rsidRPr="00CB0C6E" w:rsidRDefault="00CB0C6E" w:rsidP="00CB0C6E">
            <w:pPr>
              <w:numPr>
                <w:ilvl w:val="0"/>
                <w:numId w:val="4"/>
              </w:numPr>
              <w:spacing w:after="0" w:line="240" w:lineRule="auto"/>
              <w:ind w:left="0" w:firstLine="458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 xml:space="preserve">La pct. 7 cuvintul ”utilaj” se substituie cu sintagma ” receptoare ale GNSS” </w:t>
            </w:r>
          </w:p>
          <w:p w:rsidR="00CB0C6E" w:rsidRPr="00CB0C6E" w:rsidRDefault="00CB0C6E" w:rsidP="00CB0C6E">
            <w:pPr>
              <w:numPr>
                <w:ilvl w:val="0"/>
                <w:numId w:val="4"/>
              </w:numPr>
              <w:spacing w:after="0" w:line="240" w:lineRule="auto"/>
              <w:ind w:left="0" w:firstLine="458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>Punctul 15, subpct. 5) va avea următorul cuprins:</w:t>
            </w:r>
          </w:p>
          <w:p w:rsidR="00CB0C6E" w:rsidRPr="00CB0C6E" w:rsidRDefault="00CB0C6E" w:rsidP="00C27128">
            <w:pPr>
              <w:ind w:firstLine="458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>,,Certificatul topogeodezic și cartografic cu categoria corespunzătoare al administratorului SP/RSP sau al reprezentantului acestuia”</w:t>
            </w:r>
          </w:p>
          <w:p w:rsidR="00CB0C6E" w:rsidRPr="00CB0C6E" w:rsidRDefault="00CB0C6E" w:rsidP="00CB0C6E">
            <w:pPr>
              <w:numPr>
                <w:ilvl w:val="0"/>
                <w:numId w:val="4"/>
              </w:numPr>
              <w:spacing w:after="0" w:line="240" w:lineRule="auto"/>
              <w:ind w:left="0" w:firstLine="458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>Punctul 15 se completează cu subpct. 6) cu următorul cuprins:</w:t>
            </w:r>
          </w:p>
          <w:p w:rsidR="00CB0C6E" w:rsidRPr="00CB0C6E" w:rsidRDefault="00CB0C6E" w:rsidP="00C27128">
            <w:pPr>
              <w:ind w:firstLine="458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>,,6) Extrasul din Registrul de stat al întreprinzătorilor individuali sau juridici pentru administratorii de SP sau RSP.”</w:t>
            </w:r>
          </w:p>
          <w:p w:rsidR="00CB0C6E" w:rsidRPr="00CB0C6E" w:rsidRDefault="00CB0C6E" w:rsidP="00CB0C6E">
            <w:pPr>
              <w:numPr>
                <w:ilvl w:val="0"/>
                <w:numId w:val="4"/>
              </w:numPr>
              <w:spacing w:after="0" w:line="240" w:lineRule="auto"/>
              <w:ind w:left="0" w:firstLine="458"/>
              <w:jc w:val="both"/>
              <w:rPr>
                <w:rFonts w:ascii="Times New Roman" w:hAnsi="Times New Roman" w:cs="Times New Roman"/>
                <w:lang w:val="ro-RO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lastRenderedPageBreak/>
              <w:t>Punctul 16, subpct. 2), lit. b) se exclude.</w:t>
            </w:r>
          </w:p>
          <w:p w:rsidR="00CB0C6E" w:rsidRPr="00CB0C6E" w:rsidRDefault="00CB0C6E" w:rsidP="00C27128">
            <w:pPr>
              <w:ind w:firstLine="316"/>
              <w:jc w:val="both"/>
              <w:rPr>
                <w:rFonts w:ascii="Times New Roman" w:hAnsi="Times New Roman" w:cs="Times New Roman"/>
                <w:bCs/>
                <w:lang w:val="ro-MD" w:eastAsia="ro-RO"/>
              </w:rPr>
            </w:pPr>
            <w:r w:rsidRPr="00CB0C6E">
              <w:rPr>
                <w:rFonts w:ascii="Times New Roman" w:hAnsi="Times New Roman" w:cs="Times New Roman"/>
                <w:lang w:val="ro-RO" w:eastAsia="ro-RO"/>
              </w:rPr>
              <w:t xml:space="preserve">Modificările propuse pentru proiectul de ordin sunt în baza prevederilor pct. 1 și 2 al Instrucțiunii nr. </w:t>
            </w:r>
            <w:r w:rsidRPr="00CB0C6E">
              <w:rPr>
                <w:rFonts w:ascii="Times New Roman" w:hAnsi="Times New Roman" w:cs="Times New Roman"/>
                <w:bCs/>
                <w:lang w:val="ro-MD" w:eastAsia="ro-RO"/>
              </w:rPr>
              <w:t>32/2016, și se va referi expres la subiecții din domeniile prenotate fără a extinde prevederile asupra altor domenii conexe.</w:t>
            </w:r>
          </w:p>
          <w:p w:rsidR="00CB0C6E" w:rsidRPr="00CB0C6E" w:rsidRDefault="00CB0C6E" w:rsidP="00C27128">
            <w:pPr>
              <w:ind w:firstLine="316"/>
              <w:jc w:val="both"/>
              <w:rPr>
                <w:rStyle w:val="FontStyle13"/>
                <w:lang w:val="ro-MD" w:eastAsia="ro-RO"/>
              </w:rPr>
            </w:pPr>
            <w:r w:rsidRPr="00CB0C6E">
              <w:rPr>
                <w:rStyle w:val="FontStyle13"/>
                <w:lang w:val="ro-MD" w:eastAsia="ro-RO"/>
              </w:rPr>
              <w:t>Totodată, instrucțiunea propusă este obligatorie pentru toate persoanele fizice și juridice care execută lucrări și dețin certificat topogeodezic și cartografic.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B0C6E">
              <w:rPr>
                <w:rFonts w:ascii="Times New Roman" w:hAnsi="Times New Roman" w:cs="Times New Roman"/>
                <w:b/>
                <w:szCs w:val="24"/>
                <w:lang w:val="ro-MD"/>
              </w:rPr>
              <w:lastRenderedPageBreak/>
              <w:t>5</w:t>
            </w:r>
            <w:r w:rsidRPr="00CB0C6E">
              <w:rPr>
                <w:rFonts w:ascii="Times New Roman" w:hAnsi="Times New Roman" w:cs="Times New Roman"/>
                <w:szCs w:val="24"/>
                <w:lang w:val="ro-MD"/>
              </w:rPr>
              <w:t xml:space="preserve">. </w:t>
            </w:r>
            <w:r w:rsidRPr="00CB0C6E">
              <w:rPr>
                <w:rFonts w:ascii="Times New Roman" w:hAnsi="Times New Roman" w:cs="Times New Roman"/>
                <w:b/>
                <w:szCs w:val="24"/>
                <w:lang w:val="ro-MD"/>
              </w:rPr>
              <w:t>Fundamentarea economico - financiară.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autoSpaceDE w:val="0"/>
              <w:autoSpaceDN w:val="0"/>
              <w:adjustRightInd w:val="0"/>
              <w:ind w:right="-5" w:firstLine="316"/>
              <w:jc w:val="both"/>
              <w:rPr>
                <w:rFonts w:ascii="Times New Roman" w:hAnsi="Times New Roman" w:cs="Times New Roman"/>
                <w:lang w:val="ro-RO"/>
              </w:rPr>
            </w:pPr>
            <w:r w:rsidRPr="00CB0C6E">
              <w:rPr>
                <w:rFonts w:ascii="Times New Roman" w:hAnsi="Times New Roman" w:cs="Times New Roman"/>
                <w:lang w:val="ro-RO"/>
              </w:rPr>
              <w:t>Implementarea modificărilor la proiectul de Ordin nu presupune alocări de mijloace financiare suplimentare din bugetul de stat.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rPr>
                <w:rFonts w:ascii="Times New Roman" w:hAnsi="Times New Roman" w:cs="Times New Roman"/>
                <w:szCs w:val="24"/>
              </w:rPr>
            </w:pPr>
            <w:r w:rsidRPr="00CB0C6E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Pr="00CB0C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Modul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de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încorporare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a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actului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în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cadrul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normativ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în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vigoare</w:t>
            </w:r>
            <w:proofErr w:type="spellEnd"/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tabs>
                <w:tab w:val="left" w:pos="601"/>
              </w:tabs>
              <w:ind w:firstLine="316"/>
              <w:rPr>
                <w:rFonts w:ascii="Times New Roman" w:hAnsi="Times New Roman" w:cs="Times New Roman"/>
                <w:szCs w:val="24"/>
              </w:rPr>
            </w:pPr>
            <w:r w:rsidRPr="00CB0C6E">
              <w:rPr>
                <w:rFonts w:ascii="Times New Roman" w:hAnsi="Times New Roman" w:cs="Times New Roman"/>
                <w:szCs w:val="24"/>
              </w:rPr>
              <w:t xml:space="preserve">Ca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urmare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CB0C6E">
              <w:rPr>
                <w:rFonts w:ascii="Times New Roman" w:hAnsi="Times New Roman" w:cs="Times New Roman"/>
                <w:szCs w:val="24"/>
              </w:rPr>
              <w:t>a</w:t>
            </w:r>
            <w:proofErr w:type="gram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aprobării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proiectului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modificările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introduse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vor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eficientiza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lucrările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creare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unei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stații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B0C6E">
              <w:rPr>
                <w:rFonts w:ascii="Times New Roman" w:hAnsi="Times New Roman" w:cs="Times New Roman"/>
                <w:szCs w:val="24"/>
                <w:lang w:val="ru-RU"/>
              </w:rPr>
              <w:t>SP/RSP</w:t>
            </w:r>
            <w:r w:rsidRPr="00CB0C6E">
              <w:rPr>
                <w:rFonts w:ascii="Times New Roman" w:hAnsi="Times New Roman" w:cs="Times New Roman"/>
                <w:szCs w:val="24"/>
                <w:lang w:val="ro-MD"/>
              </w:rPr>
              <w:t>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rPr>
                <w:rFonts w:ascii="Times New Roman" w:hAnsi="Times New Roman" w:cs="Times New Roman"/>
                <w:b/>
                <w:szCs w:val="24"/>
              </w:rPr>
            </w:pPr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7.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Avizarea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și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consultarea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publică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a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proiectului</w:t>
            </w:r>
            <w:proofErr w:type="spellEnd"/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a8"/>
              <w:ind w:firstLine="316"/>
              <w:jc w:val="both"/>
              <w:rPr>
                <w:i/>
                <w:lang w:val="ro-MD"/>
              </w:rPr>
            </w:pPr>
            <w:r w:rsidRPr="00CB0C6E">
              <w:rPr>
                <w:lang w:val="ro-MD"/>
              </w:rPr>
              <w:t xml:space="preserve">În scopul respectării prevederilor Legii nr.239/2008 privind transparenţa în procesul decizional, proiectul ordinului poate fi accesat pe pagina web oficială a Agenției Relații Funciare și Cadastru, </w:t>
            </w:r>
            <w:r w:rsidRPr="00CB0C6E">
              <w:rPr>
                <w:lang w:val="ro-MD"/>
              </w:rPr>
              <w:fldChar w:fldCharType="begin"/>
            </w:r>
            <w:r w:rsidRPr="00CB0C6E">
              <w:rPr>
                <w:lang w:val="ro-MD"/>
              </w:rPr>
              <w:instrText xml:space="preserve"> HYPERLINK "http://www.arfc.gov.md" </w:instrText>
            </w:r>
            <w:r w:rsidRPr="00CB0C6E">
              <w:rPr>
                <w:lang w:val="ro-MD"/>
              </w:rPr>
              <w:fldChar w:fldCharType="separate"/>
            </w:r>
            <w:r w:rsidRPr="00CB0C6E">
              <w:rPr>
                <w:u w:val="single"/>
                <w:lang w:val="ro-MD"/>
              </w:rPr>
              <w:t>www.arfc.gov.md</w:t>
            </w:r>
            <w:r w:rsidRPr="00CB0C6E">
              <w:rPr>
                <w:u w:val="single"/>
                <w:lang w:val="ro-MD"/>
              </w:rPr>
              <w:fldChar w:fldCharType="end"/>
            </w:r>
            <w:r w:rsidRPr="00CB0C6E">
              <w:rPr>
                <w:lang w:val="ro-MD"/>
              </w:rPr>
              <w:t xml:space="preserve">, la directoriul </w:t>
            </w:r>
            <w:r w:rsidRPr="00CB0C6E">
              <w:rPr>
                <w:i/>
                <w:lang w:val="ro-MD"/>
              </w:rPr>
              <w:t>Transparenţa decizională</w:t>
            </w:r>
            <w:r w:rsidRPr="00CB0C6E">
              <w:rPr>
                <w:lang w:val="ro-MD"/>
              </w:rPr>
              <w:t xml:space="preserve">, secțiunea </w:t>
            </w:r>
            <w:r w:rsidRPr="00CB0C6E">
              <w:rPr>
                <w:i/>
                <w:lang w:val="ro-MD"/>
              </w:rPr>
              <w:t>Proiecte de acte legislative și normativ.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rPr>
                <w:rFonts w:ascii="Times New Roman" w:hAnsi="Times New Roman" w:cs="Times New Roman"/>
                <w:lang w:val="ro-RO"/>
              </w:rPr>
            </w:pPr>
            <w:r w:rsidRPr="00CB0C6E">
              <w:rPr>
                <w:rFonts w:ascii="Times New Roman" w:hAnsi="Times New Roman" w:cs="Times New Roman"/>
                <w:b/>
                <w:lang w:val="ro-RO"/>
              </w:rPr>
              <w:t>8. Consultările expertizei anticorupție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a8"/>
              <w:ind w:firstLine="316"/>
              <w:jc w:val="both"/>
              <w:rPr>
                <w:lang w:val="ro-MD"/>
              </w:rPr>
            </w:pPr>
            <w:r w:rsidRPr="00CB0C6E">
              <w:rPr>
                <w:lang w:val="ro-MD"/>
              </w:rPr>
              <w:t>Proiectul de ordin urmează a fit supus expertizei anticorupție.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rPr>
                <w:rFonts w:ascii="Times New Roman" w:hAnsi="Times New Roman" w:cs="Times New Roman"/>
                <w:b/>
                <w:szCs w:val="24"/>
                <w:lang w:val="ro-MD"/>
              </w:rPr>
            </w:pPr>
            <w:r w:rsidRPr="00CB0C6E">
              <w:rPr>
                <w:rFonts w:ascii="Times New Roman" w:hAnsi="Times New Roman" w:cs="Times New Roman"/>
                <w:b/>
                <w:szCs w:val="24"/>
                <w:lang w:val="ro-MD"/>
              </w:rPr>
              <w:t>9. Constatările expertizei de compatibilitate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ind w:firstLine="316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B0C6E">
              <w:rPr>
                <w:rFonts w:ascii="Times New Roman" w:hAnsi="Times New Roman" w:cs="Times New Roman"/>
                <w:szCs w:val="24"/>
                <w:lang w:val="ro-MD"/>
              </w:rPr>
              <w:t>Proiectul nu necesită efectuarea expertizei de compatibilitate.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B0C6E">
              <w:rPr>
                <w:rFonts w:ascii="Times New Roman" w:hAnsi="Times New Roman" w:cs="Times New Roman"/>
                <w:b/>
                <w:szCs w:val="24"/>
                <w:lang w:val="ro-MD"/>
              </w:rPr>
              <w:t>10. Constatările expertizei juridice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ind w:firstLine="316"/>
              <w:rPr>
                <w:rFonts w:ascii="Times New Roman" w:hAnsi="Times New Roman" w:cs="Times New Roman"/>
                <w:szCs w:val="24"/>
                <w:lang w:val="ro-MD"/>
              </w:rPr>
            </w:pPr>
            <w:r w:rsidRPr="00CB0C6E">
              <w:rPr>
                <w:rFonts w:ascii="Times New Roman" w:hAnsi="Times New Roman" w:cs="Times New Roman"/>
                <w:szCs w:val="24"/>
                <w:lang w:val="ro-MD"/>
              </w:rPr>
              <w:t>Proiectul de ordin urmează a fi</w:t>
            </w:r>
            <w:r w:rsidRPr="00CB0C6E">
              <w:rPr>
                <w:rFonts w:ascii="Times New Roman" w:hAnsi="Times New Roman" w:cs="Times New Roman"/>
                <w:lang w:val="ro-MD"/>
              </w:rPr>
              <w:t>t supus expertizei juridice</w:t>
            </w:r>
            <w:r w:rsidRPr="00CB0C6E">
              <w:rPr>
                <w:rFonts w:ascii="Times New Roman" w:hAnsi="Times New Roman" w:cs="Times New Roman"/>
                <w:szCs w:val="24"/>
                <w:lang w:val="ro-MD"/>
              </w:rPr>
              <w:t>. </w:t>
            </w:r>
          </w:p>
        </w:tc>
      </w:tr>
      <w:tr w:rsidR="00CB0C6E" w:rsidRPr="00CB0C6E" w:rsidTr="00C27128">
        <w:tc>
          <w:tcPr>
            <w:tcW w:w="10490" w:type="dxa"/>
            <w:shd w:val="clear" w:color="auto" w:fill="auto"/>
          </w:tcPr>
          <w:p w:rsidR="00CB0C6E" w:rsidRPr="00CB0C6E" w:rsidRDefault="00CB0C6E" w:rsidP="00C27128">
            <w:pPr>
              <w:pStyle w:val="2"/>
              <w:rPr>
                <w:rFonts w:ascii="Times New Roman" w:hAnsi="Times New Roman" w:cs="Times New Roman"/>
                <w:b/>
                <w:szCs w:val="24"/>
              </w:rPr>
            </w:pPr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11.Consultările </w:t>
            </w:r>
            <w:proofErr w:type="spellStart"/>
            <w:r w:rsidRPr="00CB0C6E">
              <w:rPr>
                <w:rFonts w:ascii="Times New Roman" w:hAnsi="Times New Roman" w:cs="Times New Roman"/>
                <w:b/>
                <w:szCs w:val="24"/>
              </w:rPr>
              <w:t>altor</w:t>
            </w:r>
            <w:proofErr w:type="spellEnd"/>
            <w:r w:rsidRPr="00CB0C6E">
              <w:rPr>
                <w:rFonts w:ascii="Times New Roman" w:hAnsi="Times New Roman" w:cs="Times New Roman"/>
                <w:b/>
                <w:szCs w:val="24"/>
              </w:rPr>
              <w:t xml:space="preserve"> expertize</w:t>
            </w:r>
          </w:p>
          <w:p w:rsidR="00CB0C6E" w:rsidRPr="00CB0C6E" w:rsidRDefault="00CB0C6E" w:rsidP="00C27128">
            <w:pPr>
              <w:pStyle w:val="2"/>
              <w:ind w:firstLine="316"/>
              <w:rPr>
                <w:rFonts w:ascii="Times New Roman" w:hAnsi="Times New Roman" w:cs="Times New Roman"/>
                <w:szCs w:val="24"/>
              </w:rPr>
            </w:pPr>
            <w:r w:rsidRPr="00CB0C6E">
              <w:rPr>
                <w:rFonts w:ascii="Times New Roman" w:hAnsi="Times New Roman" w:cs="Times New Roman"/>
                <w:szCs w:val="24"/>
              </w:rPr>
              <w:t xml:space="preserve">Nu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este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B0C6E">
              <w:rPr>
                <w:rFonts w:ascii="Times New Roman" w:hAnsi="Times New Roman" w:cs="Times New Roman"/>
                <w:szCs w:val="24"/>
              </w:rPr>
              <w:t>cazul</w:t>
            </w:r>
            <w:proofErr w:type="spellEnd"/>
            <w:r w:rsidRPr="00CB0C6E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</w:tbl>
    <w:p w:rsidR="00CB0C6E" w:rsidRPr="00CB0C6E" w:rsidRDefault="00CB0C6E" w:rsidP="00CB0C6E">
      <w:pPr>
        <w:pStyle w:val="aa"/>
        <w:ind w:left="-709" w:right="-427" w:firstLine="709"/>
        <w:rPr>
          <w:b/>
          <w:lang w:val="ro-RO"/>
        </w:rPr>
      </w:pPr>
    </w:p>
    <w:p w:rsidR="00CB0C6E" w:rsidRPr="00CB0C6E" w:rsidRDefault="00CB0C6E" w:rsidP="00CB0C6E">
      <w:pPr>
        <w:pStyle w:val="aa"/>
        <w:ind w:left="-709" w:right="-427" w:firstLine="709"/>
        <w:rPr>
          <w:b/>
          <w:lang w:val="ro-RO"/>
        </w:rPr>
      </w:pPr>
    </w:p>
    <w:p w:rsidR="00CB0C6E" w:rsidRPr="00CB0C6E" w:rsidRDefault="00CB0C6E" w:rsidP="00CB0C6E">
      <w:pPr>
        <w:pStyle w:val="aa"/>
        <w:ind w:left="-709" w:right="-427" w:firstLine="709"/>
        <w:rPr>
          <w:b/>
          <w:lang w:val="ro-RO"/>
        </w:rPr>
      </w:pPr>
    </w:p>
    <w:p w:rsidR="00CB0C6E" w:rsidRPr="00CB0C6E" w:rsidRDefault="00CB0C6E" w:rsidP="00CB0C6E">
      <w:pPr>
        <w:pStyle w:val="aa"/>
        <w:ind w:left="-709" w:right="-427" w:firstLine="709"/>
        <w:rPr>
          <w:b/>
          <w:lang w:val="ro-RO"/>
        </w:rPr>
      </w:pPr>
    </w:p>
    <w:p w:rsidR="00CB0C6E" w:rsidRPr="00CB0C6E" w:rsidRDefault="00CB0C6E" w:rsidP="00CB0C6E">
      <w:pPr>
        <w:pStyle w:val="aa"/>
        <w:ind w:left="-709" w:right="-427" w:firstLine="709"/>
        <w:rPr>
          <w:b/>
          <w:lang w:val="ro-RO"/>
        </w:rPr>
      </w:pPr>
    </w:p>
    <w:p w:rsidR="00CB0C6E" w:rsidRPr="00CB0C6E" w:rsidRDefault="00CB0C6E" w:rsidP="00CB0C6E">
      <w:pPr>
        <w:pStyle w:val="aa"/>
        <w:ind w:left="-709" w:right="-427" w:firstLine="709"/>
        <w:rPr>
          <w:b/>
          <w:lang w:val="ro-RO"/>
        </w:rPr>
      </w:pPr>
      <w:r w:rsidRPr="00CB0C6E">
        <w:rPr>
          <w:b/>
          <w:lang w:val="ro-RO"/>
        </w:rPr>
        <w:t>Director general adjunct</w:t>
      </w:r>
      <w:r w:rsidRPr="00CB0C6E">
        <w:rPr>
          <w:b/>
          <w:lang w:val="ro-RO"/>
        </w:rPr>
        <w:tab/>
      </w:r>
      <w:r w:rsidRPr="00CB0C6E">
        <w:rPr>
          <w:b/>
          <w:lang w:val="ro-RO"/>
        </w:rPr>
        <w:tab/>
      </w:r>
      <w:r w:rsidRPr="00CB0C6E">
        <w:rPr>
          <w:b/>
          <w:lang w:val="ro-RO"/>
        </w:rPr>
        <w:tab/>
      </w:r>
      <w:r w:rsidRPr="00CB0C6E">
        <w:rPr>
          <w:b/>
          <w:lang w:val="ro-RO"/>
        </w:rPr>
        <w:tab/>
      </w:r>
      <w:r w:rsidRPr="00CB0C6E">
        <w:rPr>
          <w:b/>
          <w:lang w:val="ro-RO"/>
        </w:rPr>
        <w:tab/>
      </w:r>
      <w:r w:rsidRPr="00CB0C6E">
        <w:rPr>
          <w:b/>
          <w:lang w:val="ro-RO"/>
        </w:rPr>
        <w:tab/>
      </w:r>
      <w:r w:rsidRPr="00CB0C6E">
        <w:rPr>
          <w:b/>
          <w:lang w:val="ro-RO"/>
        </w:rPr>
        <w:tab/>
        <w:t>Ștefan CRIGAN</w:t>
      </w:r>
    </w:p>
    <w:p w:rsidR="00CB0C6E" w:rsidRPr="00CB0C6E" w:rsidRDefault="00CB0C6E" w:rsidP="005F3B51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lang w:val="ro-RO"/>
        </w:rPr>
      </w:pPr>
    </w:p>
    <w:p w:rsidR="0001058E" w:rsidRPr="00CB0C6E" w:rsidRDefault="0001058E" w:rsidP="00CB0C6E">
      <w:pPr>
        <w:spacing w:line="276" w:lineRule="auto"/>
        <w:rPr>
          <w:b/>
          <w:lang w:val="ro-RO"/>
        </w:rPr>
      </w:pPr>
    </w:p>
    <w:sectPr w:rsidR="0001058E" w:rsidRPr="00CB0C6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E5207"/>
    <w:multiLevelType w:val="hybridMultilevel"/>
    <w:tmpl w:val="BF62879A"/>
    <w:lvl w:ilvl="0" w:tplc="97507852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49A03E9"/>
    <w:multiLevelType w:val="hybridMultilevel"/>
    <w:tmpl w:val="44141E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B3F6E"/>
    <w:multiLevelType w:val="hybridMultilevel"/>
    <w:tmpl w:val="3F168576"/>
    <w:lvl w:ilvl="0" w:tplc="4D7606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426B8C"/>
    <w:multiLevelType w:val="hybridMultilevel"/>
    <w:tmpl w:val="81BC78AA"/>
    <w:lvl w:ilvl="0" w:tplc="92740C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51DF9"/>
    <w:multiLevelType w:val="hybridMultilevel"/>
    <w:tmpl w:val="09A8B658"/>
    <w:lvl w:ilvl="0" w:tplc="073AB19A">
      <w:start w:val="1"/>
      <w:numFmt w:val="decimal"/>
      <w:lvlText w:val="%1."/>
      <w:lvlJc w:val="left"/>
      <w:pPr>
        <w:ind w:left="720" w:hanging="360"/>
      </w:pPr>
    </w:lvl>
    <w:lvl w:ilvl="1" w:tplc="0E145172">
      <w:start w:val="1"/>
      <w:numFmt w:val="lowerLetter"/>
      <w:lvlText w:val="%2."/>
      <w:lvlJc w:val="left"/>
      <w:pPr>
        <w:ind w:left="1440" w:hanging="360"/>
      </w:pPr>
    </w:lvl>
    <w:lvl w:ilvl="2" w:tplc="D25239BC">
      <w:start w:val="1"/>
      <w:numFmt w:val="lowerRoman"/>
      <w:lvlText w:val="%3."/>
      <w:lvlJc w:val="right"/>
      <w:pPr>
        <w:ind w:left="2160" w:hanging="180"/>
      </w:pPr>
    </w:lvl>
    <w:lvl w:ilvl="3" w:tplc="64D4772A">
      <w:start w:val="1"/>
      <w:numFmt w:val="decimal"/>
      <w:lvlText w:val="%4."/>
      <w:lvlJc w:val="left"/>
      <w:pPr>
        <w:ind w:left="2880" w:hanging="360"/>
      </w:pPr>
    </w:lvl>
    <w:lvl w:ilvl="4" w:tplc="08E0BE04">
      <w:start w:val="1"/>
      <w:numFmt w:val="lowerLetter"/>
      <w:lvlText w:val="%5."/>
      <w:lvlJc w:val="left"/>
      <w:pPr>
        <w:ind w:left="3600" w:hanging="360"/>
      </w:pPr>
    </w:lvl>
    <w:lvl w:ilvl="5" w:tplc="366AF852">
      <w:start w:val="1"/>
      <w:numFmt w:val="lowerRoman"/>
      <w:lvlText w:val="%6."/>
      <w:lvlJc w:val="right"/>
      <w:pPr>
        <w:ind w:left="4320" w:hanging="180"/>
      </w:pPr>
    </w:lvl>
    <w:lvl w:ilvl="6" w:tplc="00F86BE4">
      <w:start w:val="1"/>
      <w:numFmt w:val="decimal"/>
      <w:lvlText w:val="%7."/>
      <w:lvlJc w:val="left"/>
      <w:pPr>
        <w:ind w:left="5040" w:hanging="360"/>
      </w:pPr>
    </w:lvl>
    <w:lvl w:ilvl="7" w:tplc="6D04A4AA">
      <w:start w:val="1"/>
      <w:numFmt w:val="lowerLetter"/>
      <w:lvlText w:val="%8."/>
      <w:lvlJc w:val="left"/>
      <w:pPr>
        <w:ind w:left="5760" w:hanging="360"/>
      </w:pPr>
    </w:lvl>
    <w:lvl w:ilvl="8" w:tplc="A0CA02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11A66"/>
    <w:multiLevelType w:val="hybridMultilevel"/>
    <w:tmpl w:val="04C6A0F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7B7"/>
    <w:rsid w:val="000036A0"/>
    <w:rsid w:val="0001058E"/>
    <w:rsid w:val="000851DC"/>
    <w:rsid w:val="000A5633"/>
    <w:rsid w:val="001312D3"/>
    <w:rsid w:val="001527E1"/>
    <w:rsid w:val="00196D8F"/>
    <w:rsid w:val="002629CE"/>
    <w:rsid w:val="003C37B7"/>
    <w:rsid w:val="00592689"/>
    <w:rsid w:val="005D59D9"/>
    <w:rsid w:val="005F3B51"/>
    <w:rsid w:val="006B4B02"/>
    <w:rsid w:val="006E5AE1"/>
    <w:rsid w:val="00725FCB"/>
    <w:rsid w:val="00731D7C"/>
    <w:rsid w:val="008B7B3C"/>
    <w:rsid w:val="009644A1"/>
    <w:rsid w:val="009E5380"/>
    <w:rsid w:val="00A47E68"/>
    <w:rsid w:val="00AC78A7"/>
    <w:rsid w:val="00B3230F"/>
    <w:rsid w:val="00BD3738"/>
    <w:rsid w:val="00CB0C6E"/>
    <w:rsid w:val="00CD6DE4"/>
    <w:rsid w:val="00E92435"/>
    <w:rsid w:val="00E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6A738-0C5A-4E16-9576-7BB646F29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CA" w:eastAsia="en-US" w:bidi="mn-Mong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1058E"/>
    <w:pPr>
      <w:keepNext/>
      <w:spacing w:before="240" w:after="60" w:line="240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  <w:lang w:val="ru-RU" w:eastAsia="x-none"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D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D7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8E"/>
    <w:rPr>
      <w:rFonts w:ascii="Cambria" w:eastAsia="MS Gothic" w:hAnsi="Cambria" w:cs="Times New Roman"/>
      <w:b/>
      <w:bCs/>
      <w:kern w:val="32"/>
      <w:sz w:val="32"/>
      <w:szCs w:val="32"/>
      <w:lang w:val="ru-RU" w:eastAsia="x-none" w:bidi="ar-SA"/>
    </w:rPr>
  </w:style>
  <w:style w:type="character" w:styleId="a3">
    <w:name w:val="Strong"/>
    <w:qFormat/>
    <w:rsid w:val="0001058E"/>
    <w:rPr>
      <w:b/>
      <w:bCs/>
    </w:rPr>
  </w:style>
  <w:style w:type="paragraph" w:styleId="a4">
    <w:name w:val="header"/>
    <w:basedOn w:val="a"/>
    <w:link w:val="a5"/>
    <w:unhideWhenUsed/>
    <w:rsid w:val="0001058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character" w:customStyle="1" w:styleId="a5">
    <w:name w:val="Верхний колонтитул Знак"/>
    <w:basedOn w:val="a0"/>
    <w:link w:val="a4"/>
    <w:rsid w:val="0001058E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6">
    <w:name w:val="Body Text"/>
    <w:basedOn w:val="a"/>
    <w:link w:val="a7"/>
    <w:rsid w:val="0001058E"/>
    <w:pPr>
      <w:numPr>
        <w:ilvl w:val="12"/>
      </w:numPr>
      <w:spacing w:before="120" w:after="120" w:line="240" w:lineRule="auto"/>
      <w:ind w:firstLine="340"/>
    </w:pPr>
    <w:rPr>
      <w:rFonts w:ascii="Times New Roman" w:eastAsia="Times New Roman" w:hAnsi="Times New Roman" w:cs="Times New Roman"/>
      <w:sz w:val="24"/>
      <w:szCs w:val="20"/>
      <w:lang w:val="en-US" w:eastAsia="de-DE" w:bidi="ar-SA"/>
    </w:rPr>
  </w:style>
  <w:style w:type="character" w:customStyle="1" w:styleId="a7">
    <w:name w:val="Основной текст Знак"/>
    <w:basedOn w:val="a0"/>
    <w:link w:val="a6"/>
    <w:rsid w:val="0001058E"/>
    <w:rPr>
      <w:rFonts w:ascii="Times New Roman" w:eastAsia="Times New Roman" w:hAnsi="Times New Roman" w:cs="Times New Roman"/>
      <w:sz w:val="24"/>
      <w:szCs w:val="20"/>
      <w:lang w:val="en-US" w:eastAsia="de-DE" w:bidi="ar-SA"/>
    </w:rPr>
  </w:style>
  <w:style w:type="paragraph" w:styleId="a8">
    <w:name w:val="No Spacing"/>
    <w:uiPriority w:val="1"/>
    <w:qFormat/>
    <w:rsid w:val="0001058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 w:bidi="ar-SA"/>
    </w:rPr>
  </w:style>
  <w:style w:type="paragraph" w:styleId="a9">
    <w:name w:val="List Paragraph"/>
    <w:basedOn w:val="a"/>
    <w:uiPriority w:val="34"/>
    <w:qFormat/>
    <w:rsid w:val="009644A1"/>
    <w:pPr>
      <w:ind w:left="720"/>
      <w:contextualSpacing/>
    </w:pPr>
  </w:style>
  <w:style w:type="character" w:customStyle="1" w:styleId="70">
    <w:name w:val="Заголовок 7 Знак"/>
    <w:basedOn w:val="a0"/>
    <w:link w:val="7"/>
    <w:uiPriority w:val="9"/>
    <w:rsid w:val="00731D7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731D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">
    <w:name w:val="Body Text 2"/>
    <w:basedOn w:val="a"/>
    <w:link w:val="20"/>
    <w:uiPriority w:val="99"/>
    <w:semiHidden/>
    <w:unhideWhenUsed/>
    <w:rsid w:val="00CB0C6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B0C6E"/>
  </w:style>
  <w:style w:type="paragraph" w:styleId="aa">
    <w:name w:val="Normal (Web)"/>
    <w:basedOn w:val="a"/>
    <w:rsid w:val="00CB0C6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CB0C6E"/>
    <w:rPr>
      <w:rFonts w:ascii="Times New Roman" w:hAnsi="Times New Roman" w:cs="Times New Roman"/>
      <w:sz w:val="24"/>
      <w:szCs w:val="24"/>
    </w:rPr>
  </w:style>
  <w:style w:type="paragraph" w:customStyle="1" w:styleId="tt">
    <w:name w:val="tt"/>
    <w:basedOn w:val="a"/>
    <w:rsid w:val="00CB0C6E"/>
    <w:pPr>
      <w:spacing w:after="0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val="ru-RU" w:eastAsia="ru-RU" w:bidi="ar-SA"/>
    </w:rPr>
  </w:style>
  <w:style w:type="paragraph" w:customStyle="1" w:styleId="Default">
    <w:name w:val="Default"/>
    <w:rsid w:val="00CB0C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0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6331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</dc:creator>
  <cp:keywords/>
  <dc:description/>
  <cp:lastModifiedBy>Marina Procopi</cp:lastModifiedBy>
  <cp:revision>2</cp:revision>
  <dcterms:created xsi:type="dcterms:W3CDTF">2023-01-27T13:35:00Z</dcterms:created>
  <dcterms:modified xsi:type="dcterms:W3CDTF">2023-01-27T13:35:00Z</dcterms:modified>
</cp:coreProperties>
</file>