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55"/>
        <w:gridCol w:w="7189"/>
      </w:tblGrid>
      <w:tr w:rsidR="005021C4" w:rsidRPr="00573891" w14:paraId="60A140B6" w14:textId="77777777" w:rsidTr="00A06607">
        <w:tc>
          <w:tcPr>
            <w:tcW w:w="2155" w:type="dxa"/>
          </w:tcPr>
          <w:p w14:paraId="166F9A60" w14:textId="77777777" w:rsidR="005021C4" w:rsidRPr="002E6A54" w:rsidRDefault="005021C4" w:rsidP="00A06607">
            <w:pPr>
              <w:pStyle w:val="Heading1"/>
              <w:outlineLvl w:val="0"/>
              <w:rPr>
                <w:rFonts w:cs="Times New Roman"/>
                <w:b w:val="0"/>
                <w:bCs/>
                <w:i/>
                <w:iCs/>
                <w:sz w:val="24"/>
                <w:szCs w:val="24"/>
                <w:lang w:val="en-US"/>
              </w:rPr>
            </w:pPr>
            <w:r w:rsidRPr="002E6A54">
              <w:rPr>
                <w:rFonts w:cs="Times New Roman"/>
                <w:b w:val="0"/>
                <w:bCs/>
                <w:i/>
                <w:iCs/>
                <w:sz w:val="24"/>
                <w:szCs w:val="24"/>
                <w:lang w:val="en-US"/>
              </w:rPr>
              <w:t>Sub-Grant:</w:t>
            </w:r>
          </w:p>
        </w:tc>
        <w:tc>
          <w:tcPr>
            <w:tcW w:w="7189" w:type="dxa"/>
          </w:tcPr>
          <w:p w14:paraId="5282025B" w14:textId="77777777" w:rsidR="005021C4" w:rsidRPr="002E6A54" w:rsidRDefault="005021C4" w:rsidP="00A06607">
            <w:pPr>
              <w:pStyle w:val="Heading1"/>
              <w:outlineLvl w:val="0"/>
              <w:rPr>
                <w:rFonts w:cs="Times New Roman"/>
                <w:b w:val="0"/>
                <w:bCs/>
                <w:sz w:val="24"/>
                <w:szCs w:val="24"/>
                <w:lang w:val="en-US"/>
              </w:rPr>
            </w:pPr>
            <w:proofErr w:type="spellStart"/>
            <w:r w:rsidRPr="002E6A54">
              <w:rPr>
                <w:rFonts w:cs="Times New Roman"/>
                <w:b w:val="0"/>
                <w:bCs/>
                <w:sz w:val="24"/>
                <w:szCs w:val="24"/>
                <w:lang w:val="en-US"/>
              </w:rPr>
              <w:t>GISmart</w:t>
            </w:r>
            <w:proofErr w:type="spellEnd"/>
            <w:r w:rsidRPr="002E6A54">
              <w:rPr>
                <w:rFonts w:cs="Times New Roman"/>
                <w:b w:val="0"/>
                <w:bCs/>
                <w:sz w:val="24"/>
                <w:szCs w:val="24"/>
                <w:lang w:val="en-US"/>
              </w:rPr>
              <w:t xml:space="preserve"> </w:t>
            </w:r>
            <w:proofErr w:type="spellStart"/>
            <w:r w:rsidRPr="002E6A54">
              <w:rPr>
                <w:rFonts w:cs="Times New Roman"/>
                <w:b w:val="0"/>
                <w:bCs/>
                <w:sz w:val="24"/>
                <w:szCs w:val="24"/>
                <w:lang w:val="en-US"/>
              </w:rPr>
              <w:t>Rhemediation</w:t>
            </w:r>
            <w:proofErr w:type="spellEnd"/>
            <w:r w:rsidRPr="002E6A54">
              <w:rPr>
                <w:rFonts w:cs="Times New Roman"/>
                <w:b w:val="0"/>
                <w:bCs/>
                <w:sz w:val="24"/>
                <w:szCs w:val="24"/>
                <w:lang w:val="en-US"/>
              </w:rPr>
              <w:t>: Feasibility Study of GREEN DUNE® and GIS Integration for Water Pollution Control in Moldova’s Inland Waters</w:t>
            </w:r>
          </w:p>
        </w:tc>
      </w:tr>
      <w:tr w:rsidR="005021C4" w:rsidRPr="00573891" w14:paraId="7994ECAD" w14:textId="77777777" w:rsidTr="00A06607">
        <w:tc>
          <w:tcPr>
            <w:tcW w:w="2155" w:type="dxa"/>
          </w:tcPr>
          <w:p w14:paraId="253C7649" w14:textId="77777777" w:rsidR="005021C4" w:rsidRPr="002E6A54" w:rsidRDefault="005021C4" w:rsidP="00A06607">
            <w:pPr>
              <w:pStyle w:val="Heading1"/>
              <w:outlineLvl w:val="0"/>
              <w:rPr>
                <w:rFonts w:cs="Times New Roman"/>
                <w:b w:val="0"/>
                <w:bCs/>
                <w:i/>
                <w:iCs/>
                <w:sz w:val="24"/>
                <w:szCs w:val="24"/>
                <w:lang w:val="en-US"/>
              </w:rPr>
            </w:pPr>
            <w:r w:rsidRPr="002E6A54">
              <w:rPr>
                <w:rFonts w:cs="Times New Roman"/>
                <w:b w:val="0"/>
                <w:bCs/>
                <w:i/>
                <w:iCs/>
                <w:sz w:val="24"/>
                <w:szCs w:val="24"/>
                <w:lang w:val="en-US"/>
              </w:rPr>
              <w:t>Under the EU-funded project:</w:t>
            </w:r>
          </w:p>
          <w:p w14:paraId="1B92A524" w14:textId="77777777" w:rsidR="005021C4" w:rsidRPr="002E6A54" w:rsidRDefault="005021C4" w:rsidP="00A06607">
            <w:pPr>
              <w:pStyle w:val="Heading1"/>
              <w:outlineLvl w:val="0"/>
              <w:rPr>
                <w:rFonts w:cs="Times New Roman"/>
                <w:b w:val="0"/>
                <w:bCs/>
                <w:i/>
                <w:iCs/>
                <w:sz w:val="24"/>
                <w:szCs w:val="24"/>
                <w:lang w:val="en-US"/>
              </w:rPr>
            </w:pPr>
          </w:p>
        </w:tc>
        <w:tc>
          <w:tcPr>
            <w:tcW w:w="7189" w:type="dxa"/>
          </w:tcPr>
          <w:p w14:paraId="63D608A7" w14:textId="77777777"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“Responsive hub for long term governance to destress the Mediterranean Sea from chemical</w:t>
            </w:r>
          </w:p>
          <w:p w14:paraId="2516DFD0" w14:textId="77777777"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pollution” (“RHE-</w:t>
            </w:r>
            <w:proofErr w:type="spellStart"/>
            <w:r w:rsidRPr="002E6A54">
              <w:rPr>
                <w:rFonts w:cs="Times New Roman"/>
                <w:b w:val="0"/>
                <w:bCs/>
                <w:sz w:val="24"/>
                <w:szCs w:val="24"/>
                <w:lang w:val="en-US"/>
              </w:rPr>
              <w:t>MEDiation</w:t>
            </w:r>
            <w:proofErr w:type="spellEnd"/>
            <w:r w:rsidRPr="002E6A54">
              <w:rPr>
                <w:rFonts w:cs="Times New Roman"/>
                <w:b w:val="0"/>
                <w:bCs/>
                <w:sz w:val="24"/>
                <w:szCs w:val="24"/>
                <w:lang w:val="en-US"/>
              </w:rPr>
              <w:t>”) - HORIZON-MISS-2022-OCEAN-01-03, within the framework of the EU Mission -Restore our Ocean and Waters</w:t>
            </w:r>
          </w:p>
        </w:tc>
      </w:tr>
      <w:tr w:rsidR="005021C4" w:rsidRPr="002E6A54" w14:paraId="213FF297" w14:textId="77777777" w:rsidTr="00A06607">
        <w:tc>
          <w:tcPr>
            <w:tcW w:w="2155" w:type="dxa"/>
          </w:tcPr>
          <w:p w14:paraId="614898F0" w14:textId="77777777" w:rsidR="005021C4" w:rsidRPr="002E6A54" w:rsidRDefault="005021C4" w:rsidP="00A06607">
            <w:pPr>
              <w:pStyle w:val="Heading1"/>
              <w:outlineLvl w:val="0"/>
              <w:rPr>
                <w:rFonts w:cs="Times New Roman"/>
                <w:b w:val="0"/>
                <w:bCs/>
                <w:i/>
                <w:iCs/>
                <w:sz w:val="24"/>
                <w:szCs w:val="24"/>
                <w:lang w:val="en-US"/>
              </w:rPr>
            </w:pPr>
            <w:r w:rsidRPr="002E6A54">
              <w:rPr>
                <w:rFonts w:cs="Times New Roman"/>
                <w:b w:val="0"/>
                <w:bCs/>
                <w:i/>
                <w:iCs/>
                <w:sz w:val="24"/>
                <w:szCs w:val="24"/>
                <w:lang w:val="en-US"/>
              </w:rPr>
              <w:t>Project Period:</w:t>
            </w:r>
          </w:p>
        </w:tc>
        <w:tc>
          <w:tcPr>
            <w:tcW w:w="7189" w:type="dxa"/>
          </w:tcPr>
          <w:p w14:paraId="39202533" w14:textId="77777777"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01.09.2025-31.05.2026</w:t>
            </w:r>
          </w:p>
        </w:tc>
      </w:tr>
      <w:tr w:rsidR="005021C4" w:rsidRPr="00573891" w14:paraId="2FB9D128" w14:textId="77777777" w:rsidTr="00A06607">
        <w:tc>
          <w:tcPr>
            <w:tcW w:w="2155" w:type="dxa"/>
          </w:tcPr>
          <w:p w14:paraId="2D4A5543" w14:textId="77777777" w:rsidR="005021C4" w:rsidRPr="002E6A54" w:rsidRDefault="005021C4" w:rsidP="00A06607">
            <w:pPr>
              <w:pStyle w:val="Heading1"/>
              <w:outlineLvl w:val="0"/>
              <w:rPr>
                <w:rFonts w:cs="Times New Roman"/>
                <w:b w:val="0"/>
                <w:bCs/>
                <w:i/>
                <w:iCs/>
                <w:sz w:val="24"/>
                <w:szCs w:val="24"/>
                <w:lang w:val="en-US"/>
              </w:rPr>
            </w:pPr>
            <w:r w:rsidRPr="002E6A54">
              <w:rPr>
                <w:rFonts w:cs="Times New Roman"/>
                <w:b w:val="0"/>
                <w:bCs/>
                <w:i/>
                <w:iCs/>
                <w:sz w:val="24"/>
                <w:szCs w:val="24"/>
                <w:lang w:val="en-US"/>
              </w:rPr>
              <w:t>Contract beneficiary:</w:t>
            </w:r>
          </w:p>
        </w:tc>
        <w:tc>
          <w:tcPr>
            <w:tcW w:w="7189" w:type="dxa"/>
          </w:tcPr>
          <w:p w14:paraId="17B5ACFB" w14:textId="77777777"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 xml:space="preserve">Agency for Geodesy, Cartography and </w:t>
            </w:r>
            <w:proofErr w:type="spellStart"/>
            <w:r w:rsidRPr="002E6A54">
              <w:rPr>
                <w:rFonts w:cs="Times New Roman"/>
                <w:b w:val="0"/>
                <w:bCs/>
                <w:sz w:val="24"/>
                <w:szCs w:val="24"/>
                <w:lang w:val="en-US"/>
              </w:rPr>
              <w:t>Cadastre</w:t>
            </w:r>
            <w:proofErr w:type="spellEnd"/>
          </w:p>
        </w:tc>
      </w:tr>
      <w:tr w:rsidR="005021C4" w:rsidRPr="00573891" w14:paraId="7A8037D8" w14:textId="77777777" w:rsidTr="00A06607">
        <w:tc>
          <w:tcPr>
            <w:tcW w:w="2155" w:type="dxa"/>
          </w:tcPr>
          <w:p w14:paraId="0699B950" w14:textId="77777777" w:rsidR="005021C4" w:rsidRPr="002E6A54" w:rsidRDefault="005021C4" w:rsidP="00A06607">
            <w:pPr>
              <w:pStyle w:val="Heading1"/>
              <w:outlineLvl w:val="0"/>
              <w:rPr>
                <w:rFonts w:cs="Times New Roman"/>
                <w:b w:val="0"/>
                <w:bCs/>
                <w:i/>
                <w:iCs/>
                <w:sz w:val="24"/>
                <w:szCs w:val="24"/>
                <w:lang w:val="en-US"/>
              </w:rPr>
            </w:pPr>
            <w:r w:rsidRPr="002E6A54">
              <w:rPr>
                <w:rFonts w:cs="Times New Roman"/>
                <w:b w:val="0"/>
                <w:bCs/>
                <w:i/>
                <w:iCs/>
                <w:sz w:val="24"/>
                <w:szCs w:val="24"/>
                <w:lang w:val="en-US"/>
              </w:rPr>
              <w:t>Subject of the contract:</w:t>
            </w:r>
          </w:p>
        </w:tc>
        <w:tc>
          <w:tcPr>
            <w:tcW w:w="7189" w:type="dxa"/>
          </w:tcPr>
          <w:p w14:paraId="5266D401" w14:textId="77777777"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 xml:space="preserve">Assess the feasibility of applying the GREEN DUNE® photobioreactor for chemical pollution remediation in Moldova’s </w:t>
            </w:r>
            <w:proofErr w:type="spellStart"/>
            <w:r w:rsidRPr="002E6A54">
              <w:rPr>
                <w:rFonts w:cs="Times New Roman"/>
                <w:b w:val="0"/>
                <w:bCs/>
                <w:sz w:val="24"/>
                <w:szCs w:val="24"/>
                <w:lang w:val="en-US"/>
              </w:rPr>
              <w:t>Ișnovăț</w:t>
            </w:r>
            <w:proofErr w:type="spellEnd"/>
            <w:r w:rsidRPr="002E6A54">
              <w:rPr>
                <w:rFonts w:cs="Times New Roman"/>
                <w:b w:val="0"/>
                <w:bCs/>
                <w:sz w:val="24"/>
                <w:szCs w:val="24"/>
                <w:lang w:val="en-US"/>
              </w:rPr>
              <w:t xml:space="preserve"> River sub-basin. </w:t>
            </w:r>
          </w:p>
          <w:p w14:paraId="4DE00F11" w14:textId="77777777"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 xml:space="preserve">Measurable &amp; Verifiable: A full Feasibility Study will be conducted, including technical, environmental, and economic analysis, validated by local data, stakeholder consultations, and water quality assessments. </w:t>
            </w:r>
          </w:p>
          <w:p w14:paraId="27AEDDD0" w14:textId="54D5FBF3" w:rsidR="005021C4" w:rsidRPr="002E6A54" w:rsidRDefault="005021C4" w:rsidP="00A06607">
            <w:pPr>
              <w:pStyle w:val="Heading1"/>
              <w:outlineLvl w:val="0"/>
              <w:rPr>
                <w:rFonts w:cs="Times New Roman"/>
                <w:b w:val="0"/>
                <w:bCs/>
                <w:sz w:val="24"/>
                <w:szCs w:val="24"/>
                <w:lang w:val="en-US"/>
              </w:rPr>
            </w:pPr>
            <w:r w:rsidRPr="002E6A54">
              <w:rPr>
                <w:rFonts w:cs="Times New Roman"/>
                <w:b w:val="0"/>
                <w:bCs/>
                <w:sz w:val="24"/>
                <w:szCs w:val="24"/>
                <w:lang w:val="en-US"/>
              </w:rPr>
              <w:t xml:space="preserve">Achievable: The study will be completed within </w:t>
            </w:r>
            <w:r w:rsidR="00573891">
              <w:rPr>
                <w:rFonts w:cs="Times New Roman"/>
                <w:b w:val="0"/>
                <w:bCs/>
                <w:sz w:val="24"/>
                <w:szCs w:val="24"/>
                <w:lang w:val="en-US"/>
              </w:rPr>
              <w:t xml:space="preserve">5 </w:t>
            </w:r>
            <w:r w:rsidRPr="002E6A54">
              <w:rPr>
                <w:rFonts w:cs="Times New Roman"/>
                <w:b w:val="0"/>
                <w:bCs/>
                <w:sz w:val="24"/>
                <w:szCs w:val="24"/>
                <w:lang w:val="en-US"/>
              </w:rPr>
              <w:t>months, based on realistic field visits, existing environmental baselines, and support from national experts and laboratories.</w:t>
            </w:r>
          </w:p>
        </w:tc>
      </w:tr>
    </w:tbl>
    <w:p w14:paraId="40B45885" w14:textId="3B907247" w:rsidR="00FB1BB0" w:rsidRPr="002E6A54" w:rsidRDefault="00FB1BB0" w:rsidP="005C5210">
      <w:pPr>
        <w:pStyle w:val="Heading1"/>
        <w:jc w:val="center"/>
        <w:rPr>
          <w:rFonts w:cs="Times New Roman"/>
          <w:b w:val="0"/>
          <w:szCs w:val="28"/>
          <w:lang w:val="ro-MD"/>
        </w:rPr>
      </w:pPr>
      <w:r w:rsidRPr="002E6A54">
        <w:rPr>
          <w:rFonts w:cs="Times New Roman"/>
          <w:szCs w:val="28"/>
          <w:lang w:val="en-US"/>
        </w:rPr>
        <w:t>Terms of reference for Feasibility study for RHE-MEDiation GREEN DUNE® technology in the Isnovăț subbasin (Moldova)</w:t>
      </w:r>
    </w:p>
    <w:p w14:paraId="61B4B331" w14:textId="77777777" w:rsidR="00FB1BB0" w:rsidRPr="002E6A54" w:rsidRDefault="00FB1BB0" w:rsidP="00CE7D4B">
      <w:pPr>
        <w:spacing w:after="0" w:line="276" w:lineRule="auto"/>
        <w:ind w:firstLine="709"/>
        <w:jc w:val="both"/>
        <w:rPr>
          <w:rFonts w:cs="Times New Roman"/>
          <w:szCs w:val="28"/>
          <w:lang w:val="ro-MD"/>
        </w:rPr>
      </w:pPr>
    </w:p>
    <w:p w14:paraId="6C4B4693" w14:textId="2D20D409" w:rsidR="00FB1BB0" w:rsidRPr="00755A3B" w:rsidRDefault="005C5210" w:rsidP="00CE7D4B">
      <w:pPr>
        <w:pStyle w:val="Heading2"/>
        <w:numPr>
          <w:ilvl w:val="0"/>
          <w:numId w:val="10"/>
        </w:numPr>
        <w:jc w:val="both"/>
        <w:rPr>
          <w:rFonts w:cs="Times New Roman"/>
          <w:b w:val="0"/>
          <w:szCs w:val="24"/>
          <w:lang w:val="ro-MD"/>
        </w:rPr>
      </w:pPr>
      <w:r w:rsidRPr="00755A3B">
        <w:rPr>
          <w:rFonts w:cs="Times New Roman"/>
          <w:szCs w:val="24"/>
          <w:lang w:val="ro-RO"/>
        </w:rPr>
        <w:t xml:space="preserve">GISMart Rhe-mediation </w:t>
      </w:r>
      <w:r w:rsidR="00FB1BB0" w:rsidRPr="00755A3B">
        <w:rPr>
          <w:rFonts w:cs="Times New Roman"/>
          <w:szCs w:val="24"/>
          <w:lang w:val="en-US"/>
        </w:rPr>
        <w:t>Project description</w:t>
      </w:r>
    </w:p>
    <w:p w14:paraId="1195EEF3" w14:textId="17DBFD5E" w:rsidR="00BF16FC" w:rsidRPr="00755A3B" w:rsidRDefault="00BF16FC" w:rsidP="00CE7D4B">
      <w:pPr>
        <w:spacing w:after="0" w:line="276" w:lineRule="auto"/>
        <w:ind w:firstLine="360"/>
        <w:jc w:val="both"/>
        <w:rPr>
          <w:rFonts w:cs="Times New Roman"/>
          <w:sz w:val="24"/>
          <w:szCs w:val="24"/>
          <w:lang w:val="en-US"/>
        </w:rPr>
      </w:pPr>
      <w:r w:rsidRPr="00755A3B">
        <w:rPr>
          <w:rFonts w:cs="Times New Roman"/>
          <w:sz w:val="24"/>
          <w:szCs w:val="24"/>
          <w:lang w:val="en-US"/>
        </w:rPr>
        <w:t xml:space="preserve">The present Feasibility Study is commissioned under the </w:t>
      </w:r>
      <w:proofErr w:type="spellStart"/>
      <w:r w:rsidRPr="00755A3B">
        <w:rPr>
          <w:rFonts w:cs="Times New Roman"/>
          <w:sz w:val="24"/>
          <w:szCs w:val="24"/>
          <w:lang w:val="en-US"/>
        </w:rPr>
        <w:t>GISmart</w:t>
      </w:r>
      <w:proofErr w:type="spellEnd"/>
      <w:r w:rsidRPr="00755A3B">
        <w:rPr>
          <w:rFonts w:cs="Times New Roman"/>
          <w:sz w:val="24"/>
          <w:szCs w:val="24"/>
          <w:lang w:val="en-US"/>
        </w:rPr>
        <w:t xml:space="preserve"> RHE-</w:t>
      </w:r>
      <w:proofErr w:type="spellStart"/>
      <w:r w:rsidRPr="00755A3B">
        <w:rPr>
          <w:rFonts w:cs="Times New Roman"/>
          <w:sz w:val="24"/>
          <w:szCs w:val="24"/>
          <w:lang w:val="en-US"/>
        </w:rPr>
        <w:t>MEDiation</w:t>
      </w:r>
      <w:proofErr w:type="spellEnd"/>
      <w:r w:rsidRPr="00755A3B">
        <w:rPr>
          <w:rFonts w:cs="Times New Roman"/>
          <w:sz w:val="24"/>
          <w:szCs w:val="24"/>
          <w:lang w:val="en-US"/>
        </w:rPr>
        <w:t xml:space="preserve"> Sub-grant of the Horizon Europe framework (Mission “Restore our Ocean and Waters”), and is implemented by the Agency for Geodesy, Cartography and </w:t>
      </w:r>
      <w:proofErr w:type="spellStart"/>
      <w:r w:rsidRPr="00755A3B">
        <w:rPr>
          <w:rFonts w:cs="Times New Roman"/>
          <w:sz w:val="24"/>
          <w:szCs w:val="24"/>
          <w:lang w:val="en-US"/>
        </w:rPr>
        <w:t>Cadastre</w:t>
      </w:r>
      <w:proofErr w:type="spellEnd"/>
      <w:r w:rsidRPr="00755A3B">
        <w:rPr>
          <w:rFonts w:cs="Times New Roman"/>
          <w:sz w:val="24"/>
          <w:szCs w:val="24"/>
          <w:lang w:val="en-US"/>
        </w:rPr>
        <w:t xml:space="preserve"> (AGCC) as the contracting/implementing authority. The sub-grant supports Moldova’s transition to evidence-based, nature-positive water management by integrating geospatial analysis and innovation (e.g., GREEN DUNE® microalgae photobioreactors) to remediate polluted water bodies in the </w:t>
      </w:r>
      <w:proofErr w:type="spellStart"/>
      <w:r w:rsidRPr="00755A3B">
        <w:rPr>
          <w:rFonts w:cs="Times New Roman"/>
          <w:sz w:val="24"/>
          <w:szCs w:val="24"/>
          <w:lang w:val="en-US"/>
        </w:rPr>
        <w:t>Isnovăț</w:t>
      </w:r>
      <w:proofErr w:type="spellEnd"/>
      <w:r w:rsidRPr="00755A3B">
        <w:rPr>
          <w:rFonts w:cs="Times New Roman"/>
          <w:sz w:val="24"/>
          <w:szCs w:val="24"/>
          <w:lang w:val="en-US"/>
        </w:rPr>
        <w:t xml:space="preserve"> sub-basin. Within this context, AGCC coordinates technical and stakeholder inputs and ensures alignment with national strategies and EU-linked principles (e.g., WFD/INSPIRE), working in collaboration with competent water and environmental institutions, research partners, and the RHE-</w:t>
      </w:r>
      <w:proofErr w:type="spellStart"/>
      <w:r w:rsidRPr="00755A3B">
        <w:rPr>
          <w:rFonts w:cs="Times New Roman"/>
          <w:sz w:val="24"/>
          <w:szCs w:val="24"/>
          <w:lang w:val="en-US"/>
        </w:rPr>
        <w:t>MEDiation</w:t>
      </w:r>
      <w:proofErr w:type="spellEnd"/>
      <w:r w:rsidRPr="00755A3B">
        <w:rPr>
          <w:rFonts w:cs="Times New Roman"/>
          <w:sz w:val="24"/>
          <w:szCs w:val="24"/>
          <w:lang w:val="en-US"/>
        </w:rPr>
        <w:t xml:space="preserve"> consortium. The </w:t>
      </w:r>
      <w:r w:rsidRPr="00755A3B">
        <w:rPr>
          <w:rFonts w:cs="Times New Roman"/>
          <w:sz w:val="24"/>
          <w:szCs w:val="24"/>
          <w:lang w:val="en-US"/>
        </w:rPr>
        <w:lastRenderedPageBreak/>
        <w:t>feasibility Study will provide decision-grade evidence, spatial products, and recommendations to inform a potential pilot and scale-up pathway.</w:t>
      </w:r>
    </w:p>
    <w:p w14:paraId="1EDF6533" w14:textId="26F49F74" w:rsidR="00FB1BB0" w:rsidRPr="00755A3B" w:rsidRDefault="00FB1BB0" w:rsidP="00CE7D4B">
      <w:pPr>
        <w:spacing w:after="0" w:line="276" w:lineRule="auto"/>
        <w:ind w:firstLine="360"/>
        <w:jc w:val="both"/>
        <w:rPr>
          <w:rStyle w:val="Hyperlink"/>
          <w:rFonts w:cs="Times New Roman"/>
          <w:sz w:val="24"/>
          <w:szCs w:val="24"/>
          <w:lang w:val="ro-MD"/>
        </w:rPr>
      </w:pPr>
      <w:r w:rsidRPr="00755A3B">
        <w:rPr>
          <w:rFonts w:cs="Times New Roman"/>
          <w:sz w:val="24"/>
          <w:szCs w:val="24"/>
          <w:lang w:val="en-US"/>
        </w:rPr>
        <w:t xml:space="preserve">The </w:t>
      </w:r>
      <w:proofErr w:type="spellStart"/>
      <w:r w:rsidRPr="00755A3B">
        <w:rPr>
          <w:rFonts w:cs="Times New Roman"/>
          <w:sz w:val="24"/>
          <w:szCs w:val="24"/>
          <w:lang w:val="en-US"/>
        </w:rPr>
        <w:t>Isnovăț</w:t>
      </w:r>
      <w:proofErr w:type="spellEnd"/>
      <w:r w:rsidRPr="00755A3B">
        <w:rPr>
          <w:rFonts w:cs="Times New Roman"/>
          <w:sz w:val="24"/>
          <w:szCs w:val="24"/>
          <w:lang w:val="en-US"/>
        </w:rPr>
        <w:t xml:space="preserve"> subbasin in central Moldova (a tributary of the Bic River) faces challenges in water quality and ecosystem health due to agricultural runoff, untreated wastewater and other sources of pollution. </w:t>
      </w:r>
      <w:proofErr w:type="spellStart"/>
      <w:r w:rsidRPr="00755A3B">
        <w:rPr>
          <w:rFonts w:cs="Times New Roman"/>
          <w:sz w:val="24"/>
          <w:szCs w:val="24"/>
          <w:lang w:val="en-US"/>
        </w:rPr>
        <w:t>GISmart</w:t>
      </w:r>
      <w:proofErr w:type="spellEnd"/>
      <w:r w:rsidR="00847FEF" w:rsidRPr="00755A3B">
        <w:rPr>
          <w:rFonts w:cs="Times New Roman"/>
          <w:sz w:val="24"/>
          <w:szCs w:val="24"/>
          <w:lang w:val="en-US"/>
        </w:rPr>
        <w:t xml:space="preserve"> Sub-grant</w:t>
      </w:r>
      <w:r w:rsidRPr="00755A3B">
        <w:rPr>
          <w:rFonts w:cs="Times New Roman"/>
          <w:sz w:val="24"/>
          <w:szCs w:val="24"/>
          <w:lang w:val="en-US"/>
        </w:rPr>
        <w:t xml:space="preserve"> Project </w:t>
      </w:r>
      <w:r w:rsidRPr="00755A3B">
        <w:rPr>
          <w:rFonts w:cs="Times New Roman"/>
          <w:b/>
          <w:bCs/>
          <w:sz w:val="24"/>
          <w:szCs w:val="24"/>
          <w:lang w:val="en-US"/>
        </w:rPr>
        <w:t>RHE-</w:t>
      </w:r>
      <w:proofErr w:type="spellStart"/>
      <w:r w:rsidRPr="00755A3B">
        <w:rPr>
          <w:rFonts w:cs="Times New Roman"/>
          <w:b/>
          <w:bCs/>
          <w:sz w:val="24"/>
          <w:szCs w:val="24"/>
          <w:lang w:val="en-US"/>
        </w:rPr>
        <w:t>MEDiation</w:t>
      </w:r>
      <w:proofErr w:type="spellEnd"/>
      <w:r w:rsidRPr="00755A3B">
        <w:rPr>
          <w:rFonts w:cs="Times New Roman"/>
          <w:sz w:val="24"/>
          <w:szCs w:val="24"/>
          <w:lang w:val="en-US"/>
        </w:rPr>
        <w:t xml:space="preserve"> aims to explore innovative solutions to remediate polluted water bodies, based on local spatial data, to improve water management. A key objective is technology </w:t>
      </w:r>
      <w:r w:rsidRPr="00755A3B">
        <w:rPr>
          <w:rFonts w:cs="Times New Roman"/>
          <w:b/>
          <w:bCs/>
          <w:sz w:val="24"/>
          <w:szCs w:val="24"/>
          <w:lang w:val="en-US"/>
        </w:rPr>
        <w:t>GREEN DUNE®</w:t>
      </w:r>
      <w:r w:rsidRPr="00755A3B">
        <w:rPr>
          <w:rFonts w:cs="Times New Roman"/>
          <w:sz w:val="24"/>
          <w:szCs w:val="24"/>
          <w:lang w:val="en-US"/>
        </w:rPr>
        <w:t xml:space="preserve"> – a patented microalgae-based photobioreactor system – which has shown promise for wastewater treatment and contaminant removal in other contexts</w:t>
      </w:r>
      <w:hyperlink r:id="rId8" w:anchor=":~:text=The%20microalgae%20based%20photobioreactor%20to,measurement%20points%20for%20integration%20with">
        <w:r w:rsidRPr="00755A3B">
          <w:rPr>
            <w:rStyle w:val="Hyperlink"/>
            <w:rFonts w:cs="Times New Roman"/>
            <w:sz w:val="24"/>
            <w:szCs w:val="24"/>
            <w:lang w:val="en-US"/>
          </w:rPr>
          <w:t>[1]</w:t>
        </w:r>
      </w:hyperlink>
      <w:hyperlink r:id="rId9" w:anchor=":~:text=,a%20large%20carbon%20sequestration%20capacity">
        <w:r w:rsidRPr="00755A3B">
          <w:rPr>
            <w:rStyle w:val="Hyperlink"/>
            <w:rFonts w:cs="Times New Roman"/>
            <w:sz w:val="24"/>
            <w:szCs w:val="24"/>
            <w:lang w:val="en-US"/>
          </w:rPr>
          <w:t>[2].</w:t>
        </w:r>
      </w:hyperlink>
    </w:p>
    <w:p w14:paraId="7B3A094D" w14:textId="77777777" w:rsidR="00FB1BB0" w:rsidRPr="00755A3B" w:rsidRDefault="00FB1BB0" w:rsidP="00CE7D4B">
      <w:pPr>
        <w:spacing w:after="0" w:line="276" w:lineRule="auto"/>
        <w:ind w:firstLine="360"/>
        <w:jc w:val="both"/>
        <w:rPr>
          <w:rFonts w:cs="Times New Roman"/>
          <w:sz w:val="24"/>
          <w:szCs w:val="24"/>
          <w:lang w:val="ro-MD"/>
        </w:rPr>
      </w:pPr>
      <w:r w:rsidRPr="00755A3B">
        <w:rPr>
          <w:rFonts w:cs="Times New Roman"/>
          <w:sz w:val="24"/>
          <w:szCs w:val="24"/>
          <w:lang w:val="en-US"/>
        </w:rPr>
        <w:t xml:space="preserve">Developed by Bluemater (Portugal) and its partners, the GREEN DUNE system ensures </w:t>
      </w:r>
      <w:r w:rsidRPr="00755A3B">
        <w:rPr>
          <w:rFonts w:cs="Times New Roman"/>
          <w:i/>
          <w:iCs/>
          <w:sz w:val="24"/>
          <w:szCs w:val="24"/>
          <w:lang w:val="en-US"/>
        </w:rPr>
        <w:t>'final biological regulation'</w:t>
      </w:r>
      <w:r w:rsidRPr="00755A3B">
        <w:rPr>
          <w:rFonts w:cs="Times New Roman"/>
          <w:sz w:val="24"/>
          <w:szCs w:val="24"/>
          <w:lang w:val="en-US"/>
        </w:rPr>
        <w:t xml:space="preserve"> wastewater using microalgae, in a modular prismatic unit with a small footprint and low operating costs</w:t>
      </w:r>
      <w:hyperlink r:id="rId10" w:anchor=":~:text=The%20technology%20is%20innovative%2C%20highlighting,and%20sustainable%20exploitation%20of%20resources">
        <w:r w:rsidRPr="00755A3B">
          <w:rPr>
            <w:rStyle w:val="Hyperlink"/>
            <w:rFonts w:cs="Times New Roman"/>
            <w:sz w:val="24"/>
            <w:szCs w:val="24"/>
            <w:lang w:val="en-US"/>
          </w:rPr>
          <w:t>[3].</w:t>
        </w:r>
      </w:hyperlink>
      <w:r w:rsidRPr="00755A3B">
        <w:rPr>
          <w:rFonts w:cs="Times New Roman"/>
          <w:sz w:val="24"/>
          <w:szCs w:val="24"/>
          <w:lang w:val="en-US"/>
        </w:rPr>
        <w:t xml:space="preserve"> This technology can effectively remove excess nutrients and priority pollutants when integrated into water or wastewater systems</w:t>
      </w:r>
      <w:hyperlink r:id="rId11" w:anchor=":~:text=The%20microalgae%20based%20photobioreactor%20to,measurement%20points%20for%20integration%20with">
        <w:r w:rsidRPr="00755A3B">
          <w:rPr>
            <w:rStyle w:val="Hyperlink"/>
            <w:rFonts w:cs="Times New Roman"/>
            <w:sz w:val="24"/>
            <w:szCs w:val="24"/>
            <w:lang w:val="en-US"/>
          </w:rPr>
          <w:t>[1]</w:t>
        </w:r>
      </w:hyperlink>
      <w:r w:rsidRPr="00755A3B">
        <w:rPr>
          <w:rFonts w:cs="Times New Roman"/>
          <w:sz w:val="24"/>
          <w:szCs w:val="24"/>
          <w:lang w:val="en-US"/>
        </w:rPr>
        <w:t xml:space="preserve"> and has been shown to treat up to 150 m³/day of industrial leachate with zero energy input</w:t>
      </w:r>
      <w:hyperlink r:id="rId12" w:anchor=":~:text=,a%20large%20carbon%20sequestration%20capacity">
        <w:r w:rsidRPr="00755A3B">
          <w:rPr>
            <w:rStyle w:val="Hyperlink"/>
            <w:rFonts w:cs="Times New Roman"/>
            <w:sz w:val="24"/>
            <w:szCs w:val="24"/>
            <w:lang w:val="en-US"/>
          </w:rPr>
          <w:t>[2],</w:t>
        </w:r>
      </w:hyperlink>
      <w:r w:rsidRPr="00755A3B">
        <w:rPr>
          <w:rFonts w:cs="Times New Roman"/>
          <w:sz w:val="24"/>
          <w:szCs w:val="24"/>
          <w:lang w:val="en-US"/>
        </w:rPr>
        <w:t xml:space="preserve"> while complying with EU eviction standards.</w:t>
      </w:r>
    </w:p>
    <w:p w14:paraId="7C83BC84" w14:textId="2DAD1F85" w:rsidR="00FB1BB0" w:rsidRPr="00755A3B" w:rsidRDefault="00FB1BB0" w:rsidP="00CE7D4B">
      <w:pPr>
        <w:spacing w:after="0" w:line="276" w:lineRule="auto"/>
        <w:ind w:firstLine="360"/>
        <w:jc w:val="both"/>
        <w:rPr>
          <w:rFonts w:cs="Times New Roman"/>
          <w:sz w:val="24"/>
          <w:szCs w:val="24"/>
          <w:lang w:val="ro-MD"/>
        </w:rPr>
      </w:pPr>
      <w:r w:rsidRPr="00755A3B">
        <w:rPr>
          <w:rFonts w:cs="Times New Roman"/>
          <w:sz w:val="24"/>
          <w:szCs w:val="24"/>
          <w:lang w:val="en-US"/>
        </w:rPr>
        <w:t>The feasibility study will assess</w:t>
      </w:r>
      <w:r w:rsidR="00435724" w:rsidRPr="00755A3B">
        <w:rPr>
          <w:rFonts w:cs="Times New Roman"/>
          <w:sz w:val="24"/>
          <w:szCs w:val="24"/>
          <w:lang w:val="en-US"/>
        </w:rPr>
        <w:t>, based on spatial data,</w:t>
      </w:r>
      <w:r w:rsidRPr="00755A3B">
        <w:rPr>
          <w:rFonts w:cs="Times New Roman"/>
          <w:sz w:val="24"/>
          <w:szCs w:val="24"/>
          <w:lang w:val="en-US"/>
        </w:rPr>
        <w:t xml:space="preserve"> whether the GREEN DUNE® technology is applicable and viable for improving water quality in the </w:t>
      </w:r>
      <w:proofErr w:type="spellStart"/>
      <w:r w:rsidRPr="00755A3B">
        <w:rPr>
          <w:rFonts w:cs="Times New Roman"/>
          <w:sz w:val="24"/>
          <w:szCs w:val="24"/>
          <w:lang w:val="en-US"/>
        </w:rPr>
        <w:t>Isnovăț</w:t>
      </w:r>
      <w:proofErr w:type="spellEnd"/>
      <w:r w:rsidRPr="00755A3B">
        <w:rPr>
          <w:rFonts w:cs="Times New Roman"/>
          <w:sz w:val="24"/>
          <w:szCs w:val="24"/>
          <w:lang w:val="en-US"/>
        </w:rPr>
        <w:t xml:space="preserve"> sub-basin</w:t>
      </w:r>
      <w:r w:rsidR="00C324B0" w:rsidRPr="00755A3B">
        <w:rPr>
          <w:rFonts w:cs="Times New Roman"/>
          <w:sz w:val="24"/>
          <w:szCs w:val="24"/>
          <w:lang w:val="en-US"/>
        </w:rPr>
        <w:t xml:space="preserve">, specifically in </w:t>
      </w:r>
      <w:proofErr w:type="spellStart"/>
      <w:r w:rsidR="00C324B0" w:rsidRPr="00755A3B">
        <w:rPr>
          <w:rFonts w:cs="Times New Roman"/>
          <w:sz w:val="24"/>
          <w:szCs w:val="24"/>
          <w:lang w:val="en-US"/>
        </w:rPr>
        <w:t>Ialoveni</w:t>
      </w:r>
      <w:proofErr w:type="spellEnd"/>
      <w:r w:rsidR="00C324B0" w:rsidRPr="00755A3B">
        <w:rPr>
          <w:rFonts w:cs="Times New Roman"/>
          <w:sz w:val="24"/>
          <w:szCs w:val="24"/>
          <w:lang w:val="en-US"/>
        </w:rPr>
        <w:t xml:space="preserve">, </w:t>
      </w:r>
      <w:proofErr w:type="spellStart"/>
      <w:r w:rsidR="00C324B0" w:rsidRPr="00755A3B">
        <w:rPr>
          <w:rFonts w:cs="Times New Roman"/>
          <w:sz w:val="24"/>
          <w:szCs w:val="24"/>
          <w:lang w:val="en-US"/>
        </w:rPr>
        <w:t>Singera</w:t>
      </w:r>
      <w:proofErr w:type="spellEnd"/>
      <w:r w:rsidR="00C324B0" w:rsidRPr="00755A3B">
        <w:rPr>
          <w:rFonts w:cs="Times New Roman"/>
          <w:sz w:val="24"/>
          <w:szCs w:val="24"/>
          <w:lang w:val="en-US"/>
        </w:rPr>
        <w:t xml:space="preserve">, </w:t>
      </w:r>
      <w:proofErr w:type="spellStart"/>
      <w:r w:rsidR="00C324B0" w:rsidRPr="00755A3B">
        <w:rPr>
          <w:rFonts w:cs="Times New Roman"/>
          <w:sz w:val="24"/>
          <w:szCs w:val="24"/>
          <w:lang w:val="en-US"/>
        </w:rPr>
        <w:t>Bacioi</w:t>
      </w:r>
      <w:proofErr w:type="spellEnd"/>
      <w:r w:rsidR="00C324B0" w:rsidRPr="00755A3B">
        <w:rPr>
          <w:rFonts w:cs="Times New Roman"/>
          <w:sz w:val="24"/>
          <w:szCs w:val="24"/>
          <w:lang w:val="en-US"/>
        </w:rPr>
        <w:t xml:space="preserve">, </w:t>
      </w:r>
      <w:proofErr w:type="spellStart"/>
      <w:r w:rsidR="00C324B0" w:rsidRPr="00755A3B">
        <w:rPr>
          <w:rFonts w:cs="Times New Roman"/>
          <w:sz w:val="24"/>
          <w:szCs w:val="24"/>
          <w:lang w:val="en-US"/>
        </w:rPr>
        <w:t>Nimoreni</w:t>
      </w:r>
      <w:proofErr w:type="spellEnd"/>
      <w:r w:rsidR="00C324B0" w:rsidRPr="00755A3B">
        <w:rPr>
          <w:rFonts w:cs="Times New Roman"/>
          <w:sz w:val="24"/>
          <w:szCs w:val="24"/>
          <w:lang w:val="en-US"/>
        </w:rPr>
        <w:t xml:space="preserve"> and </w:t>
      </w:r>
      <w:proofErr w:type="spellStart"/>
      <w:r w:rsidR="00C324B0" w:rsidRPr="00755A3B">
        <w:rPr>
          <w:rFonts w:cs="Times New Roman"/>
          <w:sz w:val="24"/>
          <w:szCs w:val="24"/>
          <w:lang w:val="en-US"/>
        </w:rPr>
        <w:t>Danceni</w:t>
      </w:r>
      <w:proofErr w:type="spellEnd"/>
      <w:r w:rsidR="00435724" w:rsidRPr="00755A3B">
        <w:rPr>
          <w:rFonts w:cs="Times New Roman"/>
          <w:sz w:val="24"/>
          <w:szCs w:val="24"/>
          <w:lang w:val="en-US"/>
        </w:rPr>
        <w:t>.</w:t>
      </w:r>
    </w:p>
    <w:p w14:paraId="200B4B80" w14:textId="77777777" w:rsidR="00BF16FC" w:rsidRPr="00755A3B" w:rsidRDefault="00FB1BB0" w:rsidP="00BF16FC">
      <w:pPr>
        <w:spacing w:after="0" w:line="276" w:lineRule="auto"/>
        <w:ind w:firstLine="360"/>
        <w:jc w:val="both"/>
        <w:rPr>
          <w:rFonts w:cs="Times New Roman"/>
          <w:sz w:val="24"/>
          <w:szCs w:val="24"/>
          <w:lang w:val="en-US"/>
        </w:rPr>
      </w:pPr>
      <w:r w:rsidRPr="00755A3B">
        <w:rPr>
          <w:rFonts w:cs="Times New Roman"/>
          <w:sz w:val="24"/>
          <w:szCs w:val="24"/>
          <w:lang w:val="en-US"/>
        </w:rPr>
        <w:t xml:space="preserve">This study consists of 3 essential components: (A) – technical analysis, (B) – environmental analysis, (C) – regulation with a strong community commitment. </w:t>
      </w:r>
    </w:p>
    <w:p w14:paraId="1A623140" w14:textId="77777777" w:rsidR="00FB1BB0" w:rsidRPr="00755A3B" w:rsidRDefault="00FB1BB0" w:rsidP="00CE7D4B">
      <w:pPr>
        <w:spacing w:after="0" w:line="276" w:lineRule="auto"/>
        <w:jc w:val="both"/>
        <w:rPr>
          <w:rFonts w:cs="Times New Roman"/>
          <w:sz w:val="24"/>
          <w:szCs w:val="24"/>
          <w:lang w:val="ro-MD"/>
        </w:rPr>
      </w:pPr>
    </w:p>
    <w:p w14:paraId="440820A4" w14:textId="0D553572" w:rsidR="00FB1BB0" w:rsidRPr="00755A3B" w:rsidRDefault="00FB1BB0" w:rsidP="00CE7D4B">
      <w:pPr>
        <w:pStyle w:val="Heading2"/>
        <w:numPr>
          <w:ilvl w:val="0"/>
          <w:numId w:val="10"/>
        </w:numPr>
        <w:jc w:val="both"/>
        <w:rPr>
          <w:rFonts w:cs="Times New Roman"/>
          <w:szCs w:val="24"/>
          <w:lang w:val="ro-MD"/>
        </w:rPr>
      </w:pPr>
      <w:r w:rsidRPr="00755A3B">
        <w:rPr>
          <w:rFonts w:cs="Times New Roman"/>
          <w:szCs w:val="24"/>
        </w:rPr>
        <w:t>Objectives</w:t>
      </w:r>
    </w:p>
    <w:p w14:paraId="26E686DB" w14:textId="77777777" w:rsidR="005021C4" w:rsidRPr="00755A3B" w:rsidRDefault="005021C4" w:rsidP="005021C4">
      <w:pPr>
        <w:pStyle w:val="FirstParagraph"/>
        <w:spacing w:line="276" w:lineRule="auto"/>
        <w:ind w:firstLine="360"/>
        <w:jc w:val="both"/>
        <w:rPr>
          <w:rFonts w:ascii="Times New Roman" w:hAnsi="Times New Roman" w:cs="Times New Roman"/>
          <w:lang w:val="en-US"/>
        </w:rPr>
      </w:pPr>
      <w:r w:rsidRPr="00755A3B">
        <w:rPr>
          <w:rFonts w:ascii="Times New Roman" w:hAnsi="Times New Roman" w:cs="Times New Roman"/>
          <w:lang w:val="en-US"/>
        </w:rPr>
        <w:t xml:space="preserve">The </w:t>
      </w:r>
      <w:r w:rsidRPr="00755A3B">
        <w:rPr>
          <w:rFonts w:ascii="Times New Roman" w:hAnsi="Times New Roman" w:cs="Times New Roman"/>
          <w:b/>
          <w:bCs/>
          <w:lang w:val="en-US"/>
        </w:rPr>
        <w:t>general</w:t>
      </w:r>
      <w:r w:rsidRPr="00755A3B">
        <w:rPr>
          <w:rFonts w:ascii="Times New Roman" w:hAnsi="Times New Roman" w:cs="Times New Roman"/>
          <w:lang w:val="en-US"/>
        </w:rPr>
        <w:t xml:space="preserve"> objective of the feasibility study is to determine the feasibility and applicability of implementing </w:t>
      </w:r>
      <w:r w:rsidRPr="00755A3B">
        <w:rPr>
          <w:rFonts w:ascii="Times New Roman" w:hAnsi="Times New Roman" w:cs="Times New Roman"/>
          <w:b/>
          <w:bCs/>
          <w:lang w:val="en-US"/>
        </w:rPr>
        <w:t>the GREEN DUNE® microalgae photobioreactor technology</w:t>
      </w:r>
      <w:r w:rsidRPr="00755A3B">
        <w:rPr>
          <w:rFonts w:ascii="Times New Roman" w:hAnsi="Times New Roman" w:cs="Times New Roman"/>
          <w:lang w:val="en-US"/>
        </w:rPr>
        <w:t xml:space="preserve"> for water remediation in the </w:t>
      </w:r>
      <w:proofErr w:type="spellStart"/>
      <w:r w:rsidRPr="00755A3B">
        <w:rPr>
          <w:rFonts w:ascii="Times New Roman" w:hAnsi="Times New Roman" w:cs="Times New Roman"/>
          <w:lang w:val="en-US"/>
        </w:rPr>
        <w:t>Isnovăț</w:t>
      </w:r>
      <w:proofErr w:type="spellEnd"/>
      <w:r w:rsidRPr="00755A3B">
        <w:rPr>
          <w:rFonts w:ascii="Times New Roman" w:hAnsi="Times New Roman" w:cs="Times New Roman"/>
          <w:lang w:val="en-US"/>
        </w:rPr>
        <w:t xml:space="preserve"> sub-basin. This includes assessing technical effectiveness, environmental benefits, regulatory compliance and stakeholder acceptance of the solution. The main specific objectives are:</w:t>
      </w:r>
    </w:p>
    <w:p w14:paraId="74D0368E" w14:textId="77777777" w:rsidR="005021C4" w:rsidRPr="00755A3B" w:rsidRDefault="005021C4" w:rsidP="005021C4">
      <w:pPr>
        <w:pStyle w:val="FirstParagraph"/>
        <w:numPr>
          <w:ilvl w:val="0"/>
          <w:numId w:val="13"/>
        </w:numPr>
        <w:spacing w:line="276" w:lineRule="auto"/>
        <w:jc w:val="both"/>
        <w:rPr>
          <w:rFonts w:ascii="Times New Roman" w:hAnsi="Times New Roman" w:cs="Times New Roman"/>
          <w:lang w:val="en-US"/>
        </w:rPr>
      </w:pPr>
      <w:r w:rsidRPr="00755A3B">
        <w:rPr>
          <w:rFonts w:ascii="Times New Roman" w:hAnsi="Times New Roman" w:cs="Times New Roman"/>
          <w:u w:val="single"/>
          <w:lang w:val="en-US"/>
        </w:rPr>
        <w:t xml:space="preserve">Assess current conditions </w:t>
      </w:r>
      <w:r w:rsidRPr="00755A3B">
        <w:rPr>
          <w:rFonts w:ascii="Times New Roman" w:hAnsi="Times New Roman" w:cs="Times New Roman"/>
          <w:lang w:val="en-US"/>
        </w:rPr>
        <w:t>by establishing a comprehensive baseline of the sub-basin's environmental conditions, including water quality status, hydrological characteristics and ecological health. Identification and mapping of sources of pollution (nutrient loads, industrial discharges, etc.) and impact on the river ecosystem.</w:t>
      </w:r>
    </w:p>
    <w:p w14:paraId="72C9CBDC" w14:textId="77777777" w:rsidR="005021C4" w:rsidRPr="00755A3B" w:rsidRDefault="005021C4" w:rsidP="005021C4">
      <w:pPr>
        <w:pStyle w:val="FirstParagraph"/>
        <w:numPr>
          <w:ilvl w:val="0"/>
          <w:numId w:val="13"/>
        </w:numPr>
        <w:spacing w:line="276" w:lineRule="auto"/>
        <w:jc w:val="both"/>
        <w:rPr>
          <w:rFonts w:ascii="Times New Roman" w:hAnsi="Times New Roman" w:cs="Times New Roman"/>
          <w:lang w:val="en-US"/>
        </w:rPr>
      </w:pPr>
      <w:r w:rsidRPr="00755A3B">
        <w:rPr>
          <w:rFonts w:ascii="Times New Roman" w:hAnsi="Times New Roman" w:cs="Times New Roman"/>
          <w:u w:val="single"/>
          <w:lang w:val="en-US"/>
        </w:rPr>
        <w:t xml:space="preserve">Technical feasibility </w:t>
      </w:r>
      <w:r w:rsidRPr="00755A3B">
        <w:rPr>
          <w:rFonts w:ascii="Times New Roman" w:hAnsi="Times New Roman" w:cs="Times New Roman"/>
          <w:lang w:val="en-US"/>
        </w:rPr>
        <w:t xml:space="preserve">by assessing the technical requirements and suitability of GREEN DUNE® technology for the local context. This involves checking the water quality parameters in relation to the treatment capacities of the technology, assessing the site </w:t>
      </w:r>
      <w:r w:rsidRPr="00755A3B">
        <w:rPr>
          <w:rFonts w:ascii="Times New Roman" w:hAnsi="Times New Roman" w:cs="Times New Roman"/>
          <w:lang w:val="en-US"/>
        </w:rPr>
        <w:lastRenderedPageBreak/>
        <w:t>requirements (land area, sunlight, access) and any necessary adaptations (such as seasonal operating considerations in Moldova's climate). The study should determine whether the technology can effectively reduce the identified pollutants and improve water quality, in line with the objectives of the EU Water Framework Directive (WFD).</w:t>
      </w:r>
    </w:p>
    <w:p w14:paraId="429EB4E0" w14:textId="7D9BFD70" w:rsidR="005021C4" w:rsidRPr="00755A3B" w:rsidRDefault="005021C4" w:rsidP="005021C4">
      <w:pPr>
        <w:pStyle w:val="FirstParagraph"/>
        <w:numPr>
          <w:ilvl w:val="0"/>
          <w:numId w:val="13"/>
        </w:numPr>
        <w:spacing w:line="276" w:lineRule="auto"/>
        <w:jc w:val="both"/>
        <w:rPr>
          <w:rFonts w:ascii="Times New Roman" w:hAnsi="Times New Roman" w:cs="Times New Roman"/>
          <w:lang w:val="en-US"/>
        </w:rPr>
      </w:pPr>
      <w:r w:rsidRPr="00755A3B">
        <w:rPr>
          <w:rFonts w:ascii="Times New Roman" w:hAnsi="Times New Roman" w:cs="Times New Roman"/>
          <w:u w:val="single"/>
          <w:lang w:val="en-US"/>
        </w:rPr>
        <w:t>Regulatory and institutional feasibility</w:t>
      </w:r>
      <w:r w:rsidRPr="00755A3B">
        <w:rPr>
          <w:rFonts w:ascii="Times New Roman" w:hAnsi="Times New Roman" w:cs="Times New Roman"/>
          <w:lang w:val="en-US"/>
        </w:rPr>
        <w:t xml:space="preserve"> after examining the legal, regulatory and institutional framework to ensure that the proposed intervention can be implemented in the future. This includes the revision of Moldovan water legislation, the permits required for pilot installations and consistency with national river basin management plans and the EU's WFD principles. Recommendations should ensure compliance with relevant standards, EU directives and integration into existing water management structures (local wastewater treatment operations or river basin plans).</w:t>
      </w:r>
    </w:p>
    <w:p w14:paraId="5D8DDC40" w14:textId="77777777" w:rsidR="005021C4" w:rsidRPr="00755A3B" w:rsidRDefault="005021C4" w:rsidP="005021C4">
      <w:pPr>
        <w:pStyle w:val="FirstParagraph"/>
        <w:numPr>
          <w:ilvl w:val="0"/>
          <w:numId w:val="13"/>
        </w:numPr>
        <w:spacing w:line="276" w:lineRule="auto"/>
        <w:jc w:val="both"/>
        <w:rPr>
          <w:rStyle w:val="Hyperlink"/>
          <w:rFonts w:ascii="Times New Roman" w:hAnsi="Times New Roman" w:cs="Times New Roman"/>
          <w:color w:val="auto"/>
          <w:lang w:val="en-US"/>
        </w:rPr>
      </w:pPr>
      <w:r w:rsidRPr="00755A3B">
        <w:rPr>
          <w:rFonts w:ascii="Times New Roman" w:hAnsi="Times New Roman" w:cs="Times New Roman"/>
          <w:u w:val="single"/>
          <w:lang w:val="en-US"/>
        </w:rPr>
        <w:t xml:space="preserve">Community and stakeholder engagement </w:t>
      </w:r>
      <w:r w:rsidRPr="00755A3B">
        <w:rPr>
          <w:rFonts w:ascii="Times New Roman" w:hAnsi="Times New Roman" w:cs="Times New Roman"/>
          <w:lang w:val="en-US"/>
        </w:rPr>
        <w:t>by facilitating stakeholder engagement and community engagement throughout the study. The objective here is to gather local knowledge and experiences, ensure transparency and build support for a potential implementation. The study should identify the needs and concerns of stakeholders and incorporate their input into design and decision-making – in line with the DCA's focus on public participation</w:t>
      </w:r>
      <w:hyperlink r:id="rId13" w:anchor=":~:text=emphasis%20on%20the%20ecological%20health,4">
        <w:r w:rsidRPr="00755A3B">
          <w:rPr>
            <w:rStyle w:val="Hyperlink"/>
            <w:rFonts w:ascii="Times New Roman" w:hAnsi="Times New Roman" w:cs="Times New Roman"/>
            <w:lang w:val="en-US"/>
          </w:rPr>
          <w:t xml:space="preserve"> [4].</w:t>
        </w:r>
      </w:hyperlink>
    </w:p>
    <w:p w14:paraId="26476C27" w14:textId="77777777" w:rsidR="005021C4" w:rsidRPr="00755A3B" w:rsidRDefault="005021C4" w:rsidP="005021C4">
      <w:pPr>
        <w:pStyle w:val="FirstParagraph"/>
        <w:numPr>
          <w:ilvl w:val="0"/>
          <w:numId w:val="13"/>
        </w:numPr>
        <w:spacing w:line="276" w:lineRule="auto"/>
        <w:jc w:val="both"/>
        <w:rPr>
          <w:rFonts w:ascii="Times New Roman" w:hAnsi="Times New Roman" w:cs="Times New Roman"/>
          <w:lang w:val="en-US"/>
        </w:rPr>
      </w:pPr>
      <w:r w:rsidRPr="00755A3B">
        <w:rPr>
          <w:rFonts w:ascii="Times New Roman" w:hAnsi="Times New Roman" w:cs="Times New Roman"/>
          <w:u w:val="single"/>
          <w:lang w:val="en-US"/>
        </w:rPr>
        <w:t xml:space="preserve">Assessment of the benefits and risks </w:t>
      </w:r>
      <w:r w:rsidRPr="00755A3B">
        <w:rPr>
          <w:rFonts w:ascii="Times New Roman" w:hAnsi="Times New Roman" w:cs="Times New Roman"/>
          <w:lang w:val="en-US"/>
        </w:rPr>
        <w:t>after identifying the expected social and environmental benefits from the application of the GREEN DUNE® photobioreactor (such as pollution reduction, biodiversity enhancement, education opportunities or reuse of algal biomass) and any environmental or operational risks. This includes assessing any potential risks to biota or aquatic habitat (due to changes in water flow or handling of algal biomass) and ensuring the mitigation of any identified risks.</w:t>
      </w:r>
    </w:p>
    <w:p w14:paraId="1D0CD309" w14:textId="405156C5" w:rsidR="002E6A54" w:rsidRDefault="005021C4" w:rsidP="005021C4">
      <w:pPr>
        <w:pStyle w:val="FirstParagraph"/>
        <w:numPr>
          <w:ilvl w:val="0"/>
          <w:numId w:val="13"/>
        </w:numPr>
        <w:spacing w:line="276" w:lineRule="auto"/>
        <w:jc w:val="both"/>
        <w:rPr>
          <w:rStyle w:val="Hyperlink"/>
          <w:rFonts w:ascii="Times New Roman" w:hAnsi="Times New Roman" w:cs="Times New Roman"/>
          <w:lang w:val="en-US"/>
        </w:rPr>
      </w:pPr>
      <w:r w:rsidRPr="00755A3B">
        <w:rPr>
          <w:rFonts w:ascii="Times New Roman" w:hAnsi="Times New Roman" w:cs="Times New Roman"/>
          <w:u w:val="single"/>
          <w:lang w:val="en-US"/>
        </w:rPr>
        <w:t xml:space="preserve">Options and recommendations </w:t>
      </w:r>
      <w:r w:rsidRPr="00755A3B">
        <w:rPr>
          <w:rFonts w:ascii="Times New Roman" w:hAnsi="Times New Roman" w:cs="Times New Roman"/>
          <w:lang w:val="en-US"/>
        </w:rPr>
        <w:t>by comparing the GREEN DUNE® solution with other possible pollution restoration or mitigation options for the sub-basin (wetland construction, improvement of conventional treatment, etc.), in order to justify the approach chosen. Provide recommendations and an implementation roadmap for your preferred solution, including the conceptual design of a pilot or large-scale sub-pool application, the resources required, the estimated costs, and integration with ongoing programs. Ensure that the recommended actions align with the methodology of the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project and the overall objectives of the EU WFD of integrated ecosystem-based water management</w:t>
      </w:r>
      <w:hyperlink r:id="rId14" w:anchor=":~:text=,4">
        <w:r w:rsidRPr="00755A3B">
          <w:rPr>
            <w:rStyle w:val="Hyperlink"/>
            <w:rFonts w:ascii="Times New Roman" w:hAnsi="Times New Roman" w:cs="Times New Roman"/>
            <w:lang w:val="en-US"/>
          </w:rPr>
          <w:t>[5].</w:t>
        </w:r>
      </w:hyperlink>
    </w:p>
    <w:p w14:paraId="0530E86D" w14:textId="46D3191B" w:rsidR="005021C4" w:rsidRPr="002E6A54" w:rsidRDefault="002E6A54" w:rsidP="002E6A54">
      <w:pPr>
        <w:spacing w:line="259" w:lineRule="auto"/>
        <w:rPr>
          <w:rFonts w:cs="Times New Roman"/>
          <w:color w:val="5B9BD5" w:themeColor="accent1"/>
          <w:sz w:val="24"/>
          <w:szCs w:val="24"/>
          <w:lang w:val="en-US"/>
        </w:rPr>
      </w:pPr>
      <w:r>
        <w:rPr>
          <w:rStyle w:val="Hyperlink"/>
          <w:rFonts w:cs="Times New Roman"/>
          <w:lang w:val="en-US"/>
        </w:rPr>
        <w:br w:type="page"/>
      </w:r>
    </w:p>
    <w:p w14:paraId="23FF7258" w14:textId="2B7707C3" w:rsidR="00FB1BB0" w:rsidRDefault="00E364FB" w:rsidP="00CE7D4B">
      <w:pPr>
        <w:pStyle w:val="Heading2"/>
        <w:numPr>
          <w:ilvl w:val="0"/>
          <w:numId w:val="10"/>
        </w:numPr>
        <w:jc w:val="both"/>
        <w:rPr>
          <w:rFonts w:cs="Times New Roman"/>
          <w:szCs w:val="24"/>
        </w:rPr>
      </w:pPr>
      <w:r w:rsidRPr="00755A3B">
        <w:rPr>
          <w:rFonts w:cs="Times New Roman"/>
          <w:szCs w:val="24"/>
          <w:lang w:val="ro-RO"/>
        </w:rPr>
        <w:lastRenderedPageBreak/>
        <w:t>Logic</w:t>
      </w:r>
      <w:r w:rsidR="00FB1BB0" w:rsidRPr="00755A3B">
        <w:rPr>
          <w:rFonts w:cs="Times New Roman"/>
          <w:szCs w:val="24"/>
        </w:rPr>
        <w:t xml:space="preserve"> </w:t>
      </w:r>
      <w:proofErr w:type="spellStart"/>
      <w:r w:rsidR="00FB1BB0" w:rsidRPr="00755A3B">
        <w:rPr>
          <w:rFonts w:cs="Times New Roman"/>
          <w:szCs w:val="24"/>
        </w:rPr>
        <w:t>of</w:t>
      </w:r>
      <w:proofErr w:type="spellEnd"/>
      <w:r w:rsidR="00FB1BB0" w:rsidRPr="00755A3B">
        <w:rPr>
          <w:rFonts w:cs="Times New Roman"/>
          <w:szCs w:val="24"/>
        </w:rPr>
        <w:t xml:space="preserve"> </w:t>
      </w:r>
      <w:proofErr w:type="spellStart"/>
      <w:r w:rsidR="00FB1BB0" w:rsidRPr="00755A3B">
        <w:rPr>
          <w:rFonts w:cs="Times New Roman"/>
          <w:szCs w:val="24"/>
        </w:rPr>
        <w:t>activity</w:t>
      </w:r>
      <w:proofErr w:type="spellEnd"/>
    </w:p>
    <w:p w14:paraId="10718D59" w14:textId="77777777" w:rsidR="002E6A54" w:rsidRPr="002E6A54" w:rsidRDefault="002E6A54" w:rsidP="002E6A54"/>
    <w:tbl>
      <w:tblPr>
        <w:tblStyle w:val="TableGrid"/>
        <w:tblW w:w="9450" w:type="dxa"/>
        <w:tblInd w:w="-95" w:type="dxa"/>
        <w:tblLook w:val="04A0" w:firstRow="1" w:lastRow="0" w:firstColumn="1" w:lastColumn="0" w:noHBand="0" w:noVBand="1"/>
      </w:tblPr>
      <w:tblGrid>
        <w:gridCol w:w="2277"/>
        <w:gridCol w:w="7173"/>
      </w:tblGrid>
      <w:tr w:rsidR="005021C4" w:rsidRPr="00755A3B" w14:paraId="5F61C656" w14:textId="77777777" w:rsidTr="002E6A54">
        <w:tc>
          <w:tcPr>
            <w:tcW w:w="2277" w:type="dxa"/>
            <w:shd w:val="clear" w:color="auto" w:fill="DEEAF6" w:themeFill="accent1" w:themeFillTint="33"/>
          </w:tcPr>
          <w:p w14:paraId="1208B4A3" w14:textId="77777777" w:rsidR="005021C4" w:rsidRPr="00755A3B" w:rsidRDefault="005021C4" w:rsidP="00A06607">
            <w:pPr>
              <w:spacing w:line="360" w:lineRule="auto"/>
              <w:rPr>
                <w:rFonts w:cs="Times New Roman"/>
                <w:i/>
                <w:iCs/>
                <w:sz w:val="24"/>
                <w:szCs w:val="24"/>
                <w:lang w:val="en-US"/>
              </w:rPr>
            </w:pPr>
            <w:r w:rsidRPr="00755A3B">
              <w:rPr>
                <w:rFonts w:cs="Times New Roman"/>
                <w:i/>
                <w:iCs/>
                <w:sz w:val="24"/>
                <w:szCs w:val="24"/>
                <w:lang w:val="en-US"/>
              </w:rPr>
              <w:t>Activity</w:t>
            </w:r>
          </w:p>
        </w:tc>
        <w:tc>
          <w:tcPr>
            <w:tcW w:w="7173" w:type="dxa"/>
            <w:shd w:val="clear" w:color="auto" w:fill="DEEAF6" w:themeFill="accent1" w:themeFillTint="33"/>
          </w:tcPr>
          <w:p w14:paraId="73069A7E" w14:textId="77777777" w:rsidR="005021C4" w:rsidRPr="00755A3B" w:rsidRDefault="005021C4" w:rsidP="00A06607">
            <w:pPr>
              <w:spacing w:line="360" w:lineRule="auto"/>
              <w:jc w:val="center"/>
              <w:rPr>
                <w:rFonts w:cs="Times New Roman"/>
                <w:i/>
                <w:iCs/>
                <w:sz w:val="24"/>
                <w:szCs w:val="24"/>
                <w:lang w:val="en-US"/>
              </w:rPr>
            </w:pPr>
            <w:r w:rsidRPr="00755A3B">
              <w:rPr>
                <w:rFonts w:cs="Times New Roman"/>
                <w:i/>
                <w:iCs/>
                <w:sz w:val="24"/>
                <w:szCs w:val="24"/>
                <w:lang w:val="en-US"/>
              </w:rPr>
              <w:t>Activity breakdown</w:t>
            </w:r>
          </w:p>
        </w:tc>
      </w:tr>
      <w:tr w:rsidR="005021C4" w:rsidRPr="00573891" w14:paraId="1E7211D9" w14:textId="77777777" w:rsidTr="002E6A54">
        <w:tc>
          <w:tcPr>
            <w:tcW w:w="2277" w:type="dxa"/>
          </w:tcPr>
          <w:p w14:paraId="169D25F0"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Starting the project and detailing the work plan</w:t>
            </w:r>
          </w:p>
        </w:tc>
        <w:tc>
          <w:tcPr>
            <w:tcW w:w="7173" w:type="dxa"/>
          </w:tcPr>
          <w:p w14:paraId="25C51479" w14:textId="302F737E" w:rsidR="005021C4" w:rsidRPr="00755A3B" w:rsidRDefault="00573891" w:rsidP="005021C4">
            <w:pPr>
              <w:pStyle w:val="ListParagraph"/>
              <w:numPr>
                <w:ilvl w:val="0"/>
                <w:numId w:val="4"/>
              </w:numPr>
              <w:jc w:val="both"/>
              <w:rPr>
                <w:rFonts w:cs="Times New Roman"/>
                <w:sz w:val="24"/>
                <w:szCs w:val="24"/>
                <w:lang w:val="en-US"/>
              </w:rPr>
            </w:pPr>
            <w:r w:rsidRPr="00755A3B">
              <w:rPr>
                <w:rFonts w:cs="Times New Roman"/>
                <w:sz w:val="24"/>
                <w:szCs w:val="24"/>
                <w:lang w:val="en-US"/>
              </w:rPr>
              <w:t>Organize</w:t>
            </w:r>
            <w:r w:rsidR="005021C4" w:rsidRPr="00755A3B">
              <w:rPr>
                <w:rFonts w:cs="Times New Roman"/>
                <w:sz w:val="24"/>
                <w:szCs w:val="24"/>
                <w:lang w:val="en-US"/>
              </w:rPr>
              <w:t xml:space="preserve"> an internal initiation meeting with the expert group designated for the study, to review the project context, clarify the objectives and obtain background information available for the distribution of roles and responsibilities, for the development of the work plan, the reassessment of the need to carry out the study and the approach of contractual arrangements. </w:t>
            </w:r>
          </w:p>
          <w:p w14:paraId="14AF26D9" w14:textId="715757AD" w:rsidR="005021C4" w:rsidRPr="00755A3B" w:rsidRDefault="005021C4" w:rsidP="005021C4">
            <w:pPr>
              <w:pStyle w:val="ListParagraph"/>
              <w:numPr>
                <w:ilvl w:val="0"/>
                <w:numId w:val="4"/>
              </w:numPr>
              <w:jc w:val="both"/>
              <w:rPr>
                <w:rFonts w:cs="Times New Roman"/>
                <w:sz w:val="24"/>
                <w:szCs w:val="24"/>
                <w:lang w:val="en-US"/>
              </w:rPr>
            </w:pPr>
            <w:r w:rsidRPr="00755A3B">
              <w:rPr>
                <w:rFonts w:cs="Times New Roman"/>
                <w:sz w:val="24"/>
                <w:szCs w:val="24"/>
                <w:lang w:val="en-US"/>
              </w:rPr>
              <w:t>The Initial Assessment report will detail the approach, methodology, detailed work plan, list of experts. The report should outline spatial data needs, field survey plans, stakeholder engagement actions, and any risks or assumptions.</w:t>
            </w:r>
          </w:p>
        </w:tc>
      </w:tr>
      <w:tr w:rsidR="005021C4" w:rsidRPr="00573891" w14:paraId="27F0CF39" w14:textId="77777777" w:rsidTr="002E6A54">
        <w:tc>
          <w:tcPr>
            <w:tcW w:w="2277" w:type="dxa"/>
          </w:tcPr>
          <w:p w14:paraId="02508711" w14:textId="77777777" w:rsidR="005021C4" w:rsidRPr="00755A3B" w:rsidRDefault="005021C4" w:rsidP="00A06607">
            <w:pPr>
              <w:spacing w:line="360" w:lineRule="auto"/>
              <w:rPr>
                <w:rFonts w:cs="Times New Roman"/>
                <w:b/>
                <w:bCs/>
                <w:sz w:val="24"/>
                <w:szCs w:val="24"/>
                <w:lang w:val="en-US"/>
              </w:rPr>
            </w:pPr>
            <w:r w:rsidRPr="00755A3B">
              <w:rPr>
                <w:rFonts w:cs="Times New Roman"/>
                <w:b/>
                <w:bCs/>
                <w:sz w:val="24"/>
                <w:szCs w:val="24"/>
                <w:lang w:val="en-US"/>
              </w:rPr>
              <w:t>Office survey and GIS spatial analysis</w:t>
            </w:r>
          </w:p>
        </w:tc>
        <w:tc>
          <w:tcPr>
            <w:tcW w:w="7173" w:type="dxa"/>
          </w:tcPr>
          <w:p w14:paraId="665A525E" w14:textId="77777777" w:rsidR="005021C4" w:rsidRPr="00755A3B" w:rsidRDefault="005021C4" w:rsidP="005021C4">
            <w:pPr>
              <w:pStyle w:val="ListParagraph"/>
              <w:numPr>
                <w:ilvl w:val="0"/>
                <w:numId w:val="5"/>
              </w:numPr>
              <w:jc w:val="both"/>
              <w:rPr>
                <w:rFonts w:cs="Times New Roman"/>
                <w:sz w:val="24"/>
                <w:szCs w:val="24"/>
                <w:lang w:val="en-US"/>
              </w:rPr>
            </w:pPr>
            <w:r w:rsidRPr="00755A3B">
              <w:rPr>
                <w:rFonts w:cs="Times New Roman"/>
                <w:sz w:val="24"/>
                <w:szCs w:val="24"/>
                <w:lang w:val="en-US"/>
              </w:rPr>
              <w:t xml:space="preserve">Conducting an in-depth documentary analysis of the existing information and data on the </w:t>
            </w:r>
            <w:proofErr w:type="spellStart"/>
            <w:r w:rsidRPr="00755A3B">
              <w:rPr>
                <w:rFonts w:cs="Times New Roman"/>
                <w:sz w:val="24"/>
                <w:szCs w:val="24"/>
                <w:lang w:val="en-US"/>
              </w:rPr>
              <w:t>Isnovăț</w:t>
            </w:r>
            <w:proofErr w:type="spellEnd"/>
            <w:r w:rsidRPr="00755A3B">
              <w:rPr>
                <w:rFonts w:cs="Times New Roman"/>
                <w:sz w:val="24"/>
                <w:szCs w:val="24"/>
                <w:lang w:val="en-US"/>
              </w:rPr>
              <w:t xml:space="preserve"> sub-basin. Compilation of available studies, available water quality monitoring data, hydrological records, land use information and any previous assessments.</w:t>
            </w:r>
          </w:p>
          <w:p w14:paraId="3216CD06" w14:textId="77777777" w:rsidR="005021C4" w:rsidRPr="00755A3B" w:rsidRDefault="005021C4" w:rsidP="005021C4">
            <w:pPr>
              <w:pStyle w:val="ListParagraph"/>
              <w:numPr>
                <w:ilvl w:val="0"/>
                <w:numId w:val="5"/>
              </w:numPr>
              <w:jc w:val="both"/>
              <w:rPr>
                <w:rFonts w:cs="Times New Roman"/>
                <w:sz w:val="24"/>
                <w:szCs w:val="24"/>
                <w:lang w:val="en-US"/>
              </w:rPr>
            </w:pPr>
            <w:r w:rsidRPr="00755A3B">
              <w:rPr>
                <w:rFonts w:cs="Times New Roman"/>
                <w:sz w:val="24"/>
                <w:szCs w:val="24"/>
                <w:lang w:val="en-US"/>
              </w:rPr>
              <w:t>Delimitation of river basins and sub-river basins, mapping of physical characteristics (rivers, streams, lakes, interactions with groundwater) and land cover/use (agricultural areas, settlements, industrial sites, etc.).</w:t>
            </w:r>
          </w:p>
          <w:p w14:paraId="2FC426BD" w14:textId="77777777" w:rsidR="005021C4" w:rsidRPr="00755A3B" w:rsidRDefault="005021C4" w:rsidP="005021C4">
            <w:pPr>
              <w:pStyle w:val="ListParagraph"/>
              <w:numPr>
                <w:ilvl w:val="0"/>
                <w:numId w:val="5"/>
              </w:numPr>
              <w:jc w:val="both"/>
              <w:rPr>
                <w:rFonts w:cs="Times New Roman"/>
                <w:sz w:val="24"/>
                <w:szCs w:val="24"/>
                <w:lang w:val="en-US"/>
              </w:rPr>
            </w:pPr>
            <w:r w:rsidRPr="00755A3B">
              <w:rPr>
                <w:rFonts w:cs="Times New Roman"/>
                <w:sz w:val="24"/>
                <w:szCs w:val="24"/>
                <w:lang w:val="en-US"/>
              </w:rPr>
              <w:t xml:space="preserve">Identify potential sources of pollution and hot spots (wastewater discharge sites, agricultural runoff areas, livestock farms, landfills, </w:t>
            </w:r>
            <w:proofErr w:type="spellStart"/>
            <w:r w:rsidRPr="00755A3B">
              <w:rPr>
                <w:rFonts w:cs="Times New Roman"/>
                <w:sz w:val="24"/>
                <w:szCs w:val="24"/>
                <w:lang w:val="en-US"/>
              </w:rPr>
              <w:t>etc</w:t>
            </w:r>
            <w:proofErr w:type="spellEnd"/>
            <w:r w:rsidRPr="00755A3B">
              <w:rPr>
                <w:rFonts w:cs="Times New Roman"/>
                <w:sz w:val="24"/>
                <w:szCs w:val="24"/>
                <w:lang w:val="en-US"/>
              </w:rPr>
              <w:t>) by using GIS to correlate land use with water quality issues.</w:t>
            </w:r>
          </w:p>
          <w:p w14:paraId="130EE60C" w14:textId="77777777" w:rsidR="005021C4" w:rsidRPr="00755A3B" w:rsidRDefault="005021C4" w:rsidP="005021C4">
            <w:pPr>
              <w:pStyle w:val="ListParagraph"/>
              <w:numPr>
                <w:ilvl w:val="0"/>
                <w:numId w:val="5"/>
              </w:numPr>
              <w:spacing w:after="200"/>
              <w:jc w:val="both"/>
              <w:rPr>
                <w:rFonts w:cs="Times New Roman"/>
                <w:sz w:val="24"/>
                <w:szCs w:val="24"/>
                <w:lang w:val="en-US"/>
              </w:rPr>
            </w:pPr>
            <w:r w:rsidRPr="00755A3B">
              <w:rPr>
                <w:rFonts w:cs="Times New Roman"/>
                <w:sz w:val="24"/>
                <w:szCs w:val="24"/>
                <w:lang w:val="en-US"/>
              </w:rPr>
              <w:t>Mapping ecologically sensitive areas (protected areas, wetlands, critical habitats) that could benefit from remediation or need protection.</w:t>
            </w:r>
          </w:p>
          <w:p w14:paraId="3D9C157A" w14:textId="284C7FA4" w:rsidR="005021C4" w:rsidRPr="00755A3B" w:rsidRDefault="005021C4" w:rsidP="005021C4">
            <w:pPr>
              <w:pStyle w:val="ListParagraph"/>
              <w:numPr>
                <w:ilvl w:val="0"/>
                <w:numId w:val="5"/>
              </w:numPr>
              <w:spacing w:after="200"/>
              <w:jc w:val="both"/>
              <w:rPr>
                <w:rFonts w:cs="Times New Roman"/>
                <w:sz w:val="24"/>
                <w:szCs w:val="24"/>
                <w:lang w:val="en-US"/>
              </w:rPr>
            </w:pPr>
            <w:r w:rsidRPr="00755A3B">
              <w:rPr>
                <w:rFonts w:cs="Times New Roman"/>
                <w:sz w:val="24"/>
                <w:szCs w:val="24"/>
                <w:lang w:val="en-US"/>
              </w:rPr>
              <w:t xml:space="preserve">Incorporating international and local datasets to improve analysis –satellite imagery and global water quality data. Where possible, use open data platforms, such as the European </w:t>
            </w:r>
            <w:proofErr w:type="spellStart"/>
            <w:r w:rsidRPr="00755A3B">
              <w:rPr>
                <w:rFonts w:cs="Times New Roman"/>
                <w:sz w:val="24"/>
                <w:szCs w:val="24"/>
                <w:lang w:val="en-US"/>
              </w:rPr>
              <w:t>EMODnet</w:t>
            </w:r>
            <w:proofErr w:type="spellEnd"/>
            <w:r w:rsidRPr="00755A3B">
              <w:rPr>
                <w:rFonts w:cs="Times New Roman"/>
                <w:sz w:val="24"/>
                <w:szCs w:val="24"/>
                <w:lang w:val="en-US"/>
              </w:rPr>
              <w:t xml:space="preserve"> or Copernicus services, to obtain information on water quality parameters or land cover</w:t>
            </w:r>
            <w:hyperlink r:id="rId15" w:anchor=":~:text=range%20of%20chemical%20contaminants%20EMODnet,MSFD%2C%20WFD%2C%20and%20Maritime%20Spatial">
              <w:r w:rsidRPr="00755A3B">
                <w:rPr>
                  <w:rStyle w:val="Hyperlink"/>
                  <w:rFonts w:cs="Times New Roman"/>
                  <w:sz w:val="24"/>
                  <w:szCs w:val="24"/>
                  <w:lang w:val="en-US"/>
                </w:rPr>
                <w:t>[6].</w:t>
              </w:r>
            </w:hyperlink>
            <w:r w:rsidRPr="00755A3B">
              <w:rPr>
                <w:rFonts w:cs="Times New Roman"/>
                <w:sz w:val="24"/>
                <w:szCs w:val="24"/>
                <w:lang w:val="en-US"/>
              </w:rPr>
              <w:t xml:space="preserve"> This combined GIS analysis will provide a spatial basis for planning fieldwork and identifying candidate sites for intervention (which will later be used in applicability mapping).</w:t>
            </w:r>
          </w:p>
        </w:tc>
      </w:tr>
      <w:tr w:rsidR="005021C4" w:rsidRPr="00573891" w14:paraId="17309495" w14:textId="77777777" w:rsidTr="002E6A54">
        <w:tc>
          <w:tcPr>
            <w:tcW w:w="2277" w:type="dxa"/>
          </w:tcPr>
          <w:p w14:paraId="34D2A577"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Field data collection and surveys</w:t>
            </w:r>
          </w:p>
        </w:tc>
        <w:tc>
          <w:tcPr>
            <w:tcW w:w="7173" w:type="dxa"/>
          </w:tcPr>
          <w:p w14:paraId="1022840D" w14:textId="77777777" w:rsidR="005021C4" w:rsidRPr="00755A3B" w:rsidRDefault="005021C4" w:rsidP="005021C4">
            <w:pPr>
              <w:pStyle w:val="ListParagraph"/>
              <w:numPr>
                <w:ilvl w:val="0"/>
                <w:numId w:val="6"/>
              </w:numPr>
              <w:jc w:val="both"/>
              <w:rPr>
                <w:rFonts w:cs="Times New Roman"/>
                <w:sz w:val="24"/>
                <w:szCs w:val="24"/>
                <w:lang w:val="en-US"/>
              </w:rPr>
            </w:pPr>
            <w:r w:rsidRPr="00755A3B">
              <w:rPr>
                <w:rFonts w:cs="Times New Roman"/>
                <w:sz w:val="24"/>
                <w:szCs w:val="24"/>
                <w:lang w:val="en-US"/>
              </w:rPr>
              <w:t xml:space="preserve">Design and execution of a field sampling program to collect up-to-date data from the sub-basin. 3 questionnaires will be applied for 5 LPAs, for NGOs and for the business sector together with 2 focus groups conducted within 1 urban local community and 1 rural </w:t>
            </w:r>
            <w:r w:rsidRPr="00755A3B">
              <w:rPr>
                <w:rFonts w:cs="Times New Roman"/>
                <w:sz w:val="24"/>
                <w:szCs w:val="24"/>
                <w:lang w:val="en-US"/>
              </w:rPr>
              <w:lastRenderedPageBreak/>
              <w:t>community. This task involves on-site measurements and observations to fill in the data gaps identified in the office study.</w:t>
            </w:r>
          </w:p>
        </w:tc>
      </w:tr>
      <w:tr w:rsidR="005021C4" w:rsidRPr="00573891" w14:paraId="53CD9EA9" w14:textId="77777777" w:rsidTr="002E6A54">
        <w:tc>
          <w:tcPr>
            <w:tcW w:w="2277" w:type="dxa"/>
          </w:tcPr>
          <w:p w14:paraId="2941401E"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lastRenderedPageBreak/>
              <w:t>Water quality sampling</w:t>
            </w:r>
          </w:p>
        </w:tc>
        <w:tc>
          <w:tcPr>
            <w:tcW w:w="7173" w:type="dxa"/>
          </w:tcPr>
          <w:p w14:paraId="47459763" w14:textId="77777777" w:rsidR="005021C4" w:rsidRPr="00755A3B" w:rsidRDefault="005021C4" w:rsidP="005021C4">
            <w:pPr>
              <w:pStyle w:val="ListParagraph"/>
              <w:numPr>
                <w:ilvl w:val="0"/>
                <w:numId w:val="6"/>
              </w:numPr>
              <w:jc w:val="both"/>
              <w:rPr>
                <w:rFonts w:cs="Times New Roman"/>
                <w:b/>
                <w:bCs/>
                <w:sz w:val="24"/>
                <w:szCs w:val="24"/>
                <w:lang w:val="en-US"/>
              </w:rPr>
            </w:pPr>
            <w:r w:rsidRPr="00755A3B">
              <w:rPr>
                <w:rFonts w:cs="Times New Roman"/>
                <w:sz w:val="24"/>
                <w:szCs w:val="24"/>
                <w:lang w:val="en-US"/>
              </w:rPr>
              <w:t>Collection of water samples from strategic locations (reference site upstream, mid-obverse, downstream confluence with Bic and near identified pollution hotspots). Analysis of these samples in the laboratory certified for relevant parameters – nutrients (nitrogen, phosphorus), basic physicochemical indicators (pH, dissolved oxygen, turbidity) and priority pollutants (heavy metals, pesticides, industrial chemicals, pharmacological pollutants) as indicated by known land uses. Laboratory analyses will help quantify pollutant loads and identify key contaminants that the GREEN DUNE® system should address.</w:t>
            </w:r>
          </w:p>
        </w:tc>
      </w:tr>
      <w:tr w:rsidR="005021C4" w:rsidRPr="00573891" w14:paraId="2B3A73AA" w14:textId="77777777" w:rsidTr="002E6A54">
        <w:tc>
          <w:tcPr>
            <w:tcW w:w="2277" w:type="dxa"/>
          </w:tcPr>
          <w:p w14:paraId="1E463BA5"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Hydrological measurements</w:t>
            </w:r>
          </w:p>
        </w:tc>
        <w:tc>
          <w:tcPr>
            <w:tcW w:w="7173" w:type="dxa"/>
          </w:tcPr>
          <w:p w14:paraId="076AE75C" w14:textId="77777777" w:rsidR="005021C4" w:rsidRPr="00755A3B" w:rsidRDefault="005021C4" w:rsidP="005021C4">
            <w:pPr>
              <w:pStyle w:val="ListParagraph"/>
              <w:numPr>
                <w:ilvl w:val="0"/>
                <w:numId w:val="6"/>
              </w:numPr>
              <w:jc w:val="both"/>
              <w:rPr>
                <w:rFonts w:cs="Times New Roman"/>
                <w:b/>
                <w:bCs/>
                <w:sz w:val="24"/>
                <w:szCs w:val="24"/>
                <w:lang w:val="en-US"/>
              </w:rPr>
            </w:pPr>
            <w:r w:rsidRPr="00755A3B">
              <w:rPr>
                <w:rFonts w:cs="Times New Roman"/>
                <w:sz w:val="24"/>
                <w:szCs w:val="24"/>
                <w:lang w:val="en-US"/>
              </w:rPr>
              <w:t>Measuring the flow or flow rate at key points, if possible, to understand the volume of water and seasonal variation in flow. Installing simple data loggers or measurements if existing data is insufficient, to estimate the typical throughput that a processing unit could handle or bypass.</w:t>
            </w:r>
          </w:p>
        </w:tc>
      </w:tr>
      <w:tr w:rsidR="005021C4" w:rsidRPr="00755A3B" w14:paraId="7B3A8024" w14:textId="77777777" w:rsidTr="002E6A54">
        <w:tc>
          <w:tcPr>
            <w:tcW w:w="2277" w:type="dxa"/>
          </w:tcPr>
          <w:p w14:paraId="092DDF4C"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Environmental checklists</w:t>
            </w:r>
          </w:p>
        </w:tc>
        <w:tc>
          <w:tcPr>
            <w:tcW w:w="7173" w:type="dxa"/>
          </w:tcPr>
          <w:p w14:paraId="3FDC2314" w14:textId="77777777" w:rsidR="005021C4" w:rsidRPr="00755A3B" w:rsidRDefault="005021C4" w:rsidP="005021C4">
            <w:pPr>
              <w:pStyle w:val="ListParagraph"/>
              <w:numPr>
                <w:ilvl w:val="0"/>
                <w:numId w:val="6"/>
              </w:numPr>
              <w:jc w:val="both"/>
              <w:rPr>
                <w:rFonts w:cs="Times New Roman"/>
                <w:b/>
                <w:bCs/>
                <w:sz w:val="24"/>
                <w:szCs w:val="24"/>
                <w:lang w:val="en-US"/>
              </w:rPr>
            </w:pPr>
            <w:r w:rsidRPr="00755A3B">
              <w:rPr>
                <w:rFonts w:cs="Times New Roman"/>
                <w:sz w:val="24"/>
                <w:szCs w:val="24"/>
                <w:lang w:val="en-US"/>
              </w:rPr>
              <w:t>Making observations of the conditions of the river's habitat. Documenting visible signs of pollution or ecological stress (algae blooms, fish killing incidents, poor water clarity). Taking notes of the existing biodiversity – aquatic flora and fauna, observing the presence of indicator species, invasive species, etc.). This will contribute to the assessment of environmental risks.</w:t>
            </w:r>
          </w:p>
        </w:tc>
      </w:tr>
      <w:tr w:rsidR="005021C4" w:rsidRPr="00573891" w14:paraId="4E720A09" w14:textId="77777777" w:rsidTr="002E6A54">
        <w:tc>
          <w:tcPr>
            <w:tcW w:w="2277" w:type="dxa"/>
          </w:tcPr>
          <w:p w14:paraId="1DC28670"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Community comments</w:t>
            </w:r>
          </w:p>
        </w:tc>
        <w:tc>
          <w:tcPr>
            <w:tcW w:w="7173" w:type="dxa"/>
          </w:tcPr>
          <w:p w14:paraId="4AAC48CF" w14:textId="77777777" w:rsidR="005021C4" w:rsidRPr="00755A3B" w:rsidRDefault="005021C4" w:rsidP="005021C4">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t>During field visits, in questionnaires and during the focus groups - asking questions with local residents, farmers, or site managers who would gather anecdotal information about issues (such as periodic pollution events, water use, community concerns). This local information will complement official stakeholder meetings at a later date.</w:t>
            </w:r>
          </w:p>
        </w:tc>
      </w:tr>
      <w:tr w:rsidR="005021C4" w:rsidRPr="00573891" w14:paraId="6BA2BA9F" w14:textId="77777777" w:rsidTr="002E6A54">
        <w:tc>
          <w:tcPr>
            <w:tcW w:w="2277" w:type="dxa"/>
          </w:tcPr>
          <w:p w14:paraId="4A05015A"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Basic environmental and social characterization</w:t>
            </w:r>
          </w:p>
        </w:tc>
        <w:tc>
          <w:tcPr>
            <w:tcW w:w="7173" w:type="dxa"/>
          </w:tcPr>
          <w:p w14:paraId="3D11B6E8" w14:textId="77777777" w:rsidR="005021C4" w:rsidRPr="00755A3B" w:rsidRDefault="005021C4" w:rsidP="005021C4">
            <w:pPr>
              <w:pStyle w:val="ListParagraph"/>
              <w:numPr>
                <w:ilvl w:val="0"/>
                <w:numId w:val="6"/>
              </w:numPr>
              <w:jc w:val="both"/>
              <w:rPr>
                <w:rFonts w:cs="Times New Roman"/>
                <w:sz w:val="24"/>
                <w:szCs w:val="24"/>
                <w:lang w:val="en-US"/>
              </w:rPr>
            </w:pPr>
            <w:r w:rsidRPr="00755A3B">
              <w:rPr>
                <w:rFonts w:cs="Times New Roman"/>
                <w:sz w:val="24"/>
                <w:szCs w:val="24"/>
                <w:lang w:val="en-US"/>
              </w:rPr>
              <w:t xml:space="preserve">Using the data from the documentary study and field surveys, a detailed basic profile of the environment of the </w:t>
            </w:r>
            <w:proofErr w:type="spellStart"/>
            <w:r w:rsidRPr="00755A3B">
              <w:rPr>
                <w:rFonts w:cs="Times New Roman"/>
                <w:sz w:val="24"/>
                <w:szCs w:val="24"/>
                <w:lang w:val="en-US"/>
              </w:rPr>
              <w:t>Isnovăț</w:t>
            </w:r>
            <w:proofErr w:type="spellEnd"/>
            <w:r w:rsidRPr="00755A3B">
              <w:rPr>
                <w:rFonts w:cs="Times New Roman"/>
                <w:sz w:val="24"/>
                <w:szCs w:val="24"/>
                <w:lang w:val="en-US"/>
              </w:rPr>
              <w:t xml:space="preserve"> subbasin will be developed per each of 5 LPA. </w:t>
            </w:r>
          </w:p>
        </w:tc>
      </w:tr>
      <w:tr w:rsidR="005021C4" w:rsidRPr="00573891" w14:paraId="4D3C5D68" w14:textId="77777777" w:rsidTr="002E6A54">
        <w:tc>
          <w:tcPr>
            <w:tcW w:w="2277" w:type="dxa"/>
          </w:tcPr>
          <w:p w14:paraId="561DDE8D"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Water quality status</w:t>
            </w:r>
          </w:p>
        </w:tc>
        <w:tc>
          <w:tcPr>
            <w:tcW w:w="7173" w:type="dxa"/>
          </w:tcPr>
          <w:p w14:paraId="52EF9BE4" w14:textId="77777777" w:rsidR="005021C4" w:rsidRPr="00755A3B" w:rsidRDefault="005021C4" w:rsidP="005021C4">
            <w:pPr>
              <w:pStyle w:val="ListParagraph"/>
              <w:numPr>
                <w:ilvl w:val="0"/>
                <w:numId w:val="6"/>
              </w:numPr>
              <w:jc w:val="both"/>
              <w:rPr>
                <w:rFonts w:cs="Times New Roman"/>
                <w:sz w:val="24"/>
                <w:szCs w:val="24"/>
                <w:lang w:val="en-US"/>
              </w:rPr>
            </w:pPr>
            <w:r w:rsidRPr="00755A3B">
              <w:rPr>
                <w:rFonts w:cs="Times New Roman"/>
                <w:sz w:val="24"/>
                <w:szCs w:val="24"/>
                <w:lang w:val="en-US"/>
              </w:rPr>
              <w:t>Presentation of current water quality conditions in the river and tributaries, highlighting parameters that exceed national or EU WFD standards. Identification of spatial trends (degradation of water quality downstream of certain activities).</w:t>
            </w:r>
          </w:p>
        </w:tc>
      </w:tr>
      <w:tr w:rsidR="005021C4" w:rsidRPr="00573891" w14:paraId="24CBC846" w14:textId="77777777" w:rsidTr="002E6A54">
        <w:tc>
          <w:tcPr>
            <w:tcW w:w="2277" w:type="dxa"/>
          </w:tcPr>
          <w:p w14:paraId="474E42EC"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Hydrology and geomorphology</w:t>
            </w:r>
          </w:p>
        </w:tc>
        <w:tc>
          <w:tcPr>
            <w:tcW w:w="7173" w:type="dxa"/>
          </w:tcPr>
          <w:p w14:paraId="206A304D" w14:textId="77777777" w:rsidR="005021C4" w:rsidRPr="00755A3B" w:rsidRDefault="005021C4" w:rsidP="005021C4">
            <w:pPr>
              <w:pStyle w:val="ListParagraph"/>
              <w:numPr>
                <w:ilvl w:val="0"/>
                <w:numId w:val="6"/>
              </w:numPr>
              <w:jc w:val="both"/>
              <w:rPr>
                <w:rFonts w:cs="Times New Roman"/>
                <w:sz w:val="24"/>
                <w:szCs w:val="24"/>
                <w:lang w:val="en-US"/>
              </w:rPr>
            </w:pPr>
            <w:r w:rsidRPr="00755A3B">
              <w:rPr>
                <w:rFonts w:cs="Times New Roman"/>
                <w:sz w:val="24"/>
                <w:szCs w:val="24"/>
                <w:lang w:val="en-US"/>
              </w:rPr>
              <w:t>Summary of the hydrological regime (seasonality of flow, any known flood/drought patterns) and morphology of rivers relevant for remediation such as slow-flowing portions vs. fast flow, which may influence the placement of treatment.</w:t>
            </w:r>
          </w:p>
        </w:tc>
      </w:tr>
      <w:tr w:rsidR="005021C4" w:rsidRPr="00573891" w14:paraId="12335CD7" w14:textId="77777777" w:rsidTr="002E6A54">
        <w:tc>
          <w:tcPr>
            <w:tcW w:w="2277" w:type="dxa"/>
          </w:tcPr>
          <w:p w14:paraId="7712B805"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lastRenderedPageBreak/>
              <w:t>Ecological context</w:t>
            </w:r>
          </w:p>
        </w:tc>
        <w:tc>
          <w:tcPr>
            <w:tcW w:w="7173" w:type="dxa"/>
          </w:tcPr>
          <w:p w14:paraId="242A9F70" w14:textId="77777777" w:rsidR="005021C4" w:rsidRPr="00755A3B" w:rsidRDefault="005021C4" w:rsidP="005021C4">
            <w:pPr>
              <w:pStyle w:val="ListParagraph"/>
              <w:numPr>
                <w:ilvl w:val="0"/>
                <w:numId w:val="6"/>
              </w:numPr>
              <w:jc w:val="both"/>
              <w:rPr>
                <w:rFonts w:cs="Times New Roman"/>
                <w:sz w:val="24"/>
                <w:szCs w:val="24"/>
                <w:lang w:val="en-US"/>
              </w:rPr>
            </w:pPr>
            <w:r w:rsidRPr="00755A3B">
              <w:rPr>
                <w:rFonts w:cs="Times New Roman"/>
                <w:sz w:val="24"/>
                <w:szCs w:val="24"/>
                <w:lang w:val="en-US"/>
              </w:rPr>
              <w:t xml:space="preserve">Description of aquatic and riparian ecosystems. List key species (fish, macroinvertebrates, aquatic plants) and note any protected species or habitats. If the data allows, classify the ecological status of the water body according to the WFD criteria (high/good/moderate, etc.) and identify the main stressors that prevent good status. </w:t>
            </w:r>
          </w:p>
        </w:tc>
      </w:tr>
      <w:tr w:rsidR="005021C4" w:rsidRPr="00573891" w14:paraId="45A1EC1C" w14:textId="77777777" w:rsidTr="002E6A54">
        <w:tc>
          <w:tcPr>
            <w:tcW w:w="2277" w:type="dxa"/>
          </w:tcPr>
          <w:p w14:paraId="7CF4F38D"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Socio-economic context</w:t>
            </w:r>
          </w:p>
        </w:tc>
        <w:tc>
          <w:tcPr>
            <w:tcW w:w="7173" w:type="dxa"/>
          </w:tcPr>
          <w:p w14:paraId="5C3057B7" w14:textId="77777777" w:rsidR="005021C4" w:rsidRPr="00755A3B" w:rsidRDefault="005021C4" w:rsidP="005021C4">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t>Providing a brief overview of human interactions with the sub-basin – communities that rely on water (for irrigation, fishing, etc.), any cultural or recreational value of the river, and ongoing development projects. Identify any social and environmental sensitivities like dependence on water for livelihoods or the cultural importance of the river, that need to be taken into account in proposing interventions.</w:t>
            </w:r>
          </w:p>
        </w:tc>
      </w:tr>
      <w:tr w:rsidR="005021C4" w:rsidRPr="00573891" w14:paraId="58E145A6" w14:textId="77777777" w:rsidTr="002E6A54">
        <w:trPr>
          <w:trHeight w:val="70"/>
        </w:trPr>
        <w:tc>
          <w:tcPr>
            <w:tcW w:w="2277" w:type="dxa"/>
          </w:tcPr>
          <w:p w14:paraId="43119083"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Existing infrastructure</w:t>
            </w:r>
          </w:p>
        </w:tc>
        <w:tc>
          <w:tcPr>
            <w:tcW w:w="7173" w:type="dxa"/>
          </w:tcPr>
          <w:p w14:paraId="13E1CF7A" w14:textId="77777777" w:rsidR="005021C4" w:rsidRPr="00755A3B" w:rsidRDefault="005021C4" w:rsidP="005021C4">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t>Observation of existing infrastructure related to water management in the area (small wastewater treatment plants, irrigation systems or dams) that could contribute to problems or provide integration points for new treatment technologies.</w:t>
            </w:r>
          </w:p>
        </w:tc>
      </w:tr>
      <w:tr w:rsidR="00A93CA7" w:rsidRPr="00573891" w14:paraId="33618406" w14:textId="77777777" w:rsidTr="002E6A54">
        <w:trPr>
          <w:trHeight w:val="70"/>
        </w:trPr>
        <w:tc>
          <w:tcPr>
            <w:tcW w:w="2277" w:type="dxa"/>
          </w:tcPr>
          <w:p w14:paraId="59F0E20C" w14:textId="415B0106" w:rsidR="00A93CA7" w:rsidRPr="00755A3B" w:rsidRDefault="00A93CA7" w:rsidP="00A06607">
            <w:pPr>
              <w:rPr>
                <w:rFonts w:cs="Times New Roman"/>
                <w:b/>
                <w:bCs/>
                <w:sz w:val="24"/>
                <w:szCs w:val="24"/>
                <w:lang w:val="en-US"/>
              </w:rPr>
            </w:pPr>
            <w:r>
              <w:rPr>
                <w:rFonts w:cs="Times New Roman"/>
                <w:b/>
                <w:bCs/>
                <w:sz w:val="24"/>
                <w:szCs w:val="24"/>
                <w:lang w:val="en-US"/>
              </w:rPr>
              <w:t>GIS integration</w:t>
            </w:r>
          </w:p>
        </w:tc>
        <w:tc>
          <w:tcPr>
            <w:tcW w:w="7173" w:type="dxa"/>
          </w:tcPr>
          <w:p w14:paraId="091CDD46" w14:textId="276E76ED" w:rsidR="00A93CA7" w:rsidRPr="00573891" w:rsidRDefault="00A93CA7" w:rsidP="005021C4">
            <w:pPr>
              <w:pStyle w:val="Compact"/>
              <w:numPr>
                <w:ilvl w:val="0"/>
                <w:numId w:val="6"/>
              </w:numPr>
              <w:jc w:val="both"/>
              <w:rPr>
                <w:rFonts w:ascii="Times New Roman" w:hAnsi="Times New Roman" w:cs="Times New Roman"/>
                <w:lang w:val="en-US"/>
              </w:rPr>
            </w:pPr>
            <w:r w:rsidRPr="00573891">
              <w:rPr>
                <w:rFonts w:ascii="Times New Roman" w:hAnsi="Times New Roman" w:cs="Times New Roman"/>
                <w:lang w:val="en-US"/>
              </w:rPr>
              <w:t xml:space="preserve">Ensure that all spatial information generated under this assignment – including results of field and laboratory sampling, processed and interpreted monitoring data, delineation of basins and sub-basins, identification of hotspots and sensitive areas, as well as all thematic and analytical maps – is prepared, structured and delivered in standard GIS formats. All datasets shall be accompanied by clear layer naming, attribute descriptions and basic metadata, and shall be </w:t>
            </w:r>
            <w:r w:rsidR="00573891" w:rsidRPr="00573891">
              <w:rPr>
                <w:rFonts w:ascii="Times New Roman" w:hAnsi="Times New Roman" w:cs="Times New Roman"/>
                <w:lang w:val="en-US"/>
              </w:rPr>
              <w:t>harmonized</w:t>
            </w:r>
            <w:r w:rsidRPr="00573891">
              <w:rPr>
                <w:rFonts w:ascii="Times New Roman" w:hAnsi="Times New Roman" w:cs="Times New Roman"/>
                <w:lang w:val="en-US"/>
              </w:rPr>
              <w:t xml:space="preserve"> with the SIGSNL data model (coordinate reference system, geometry types, coding of attributes) in order to enable their subsequent publication, updating and reuse by LPAs in SIGSNL.</w:t>
            </w:r>
          </w:p>
        </w:tc>
      </w:tr>
    </w:tbl>
    <w:p w14:paraId="40A269D7" w14:textId="77777777" w:rsidR="00C324B0" w:rsidRPr="00755A3B" w:rsidRDefault="00C324B0" w:rsidP="00CE7D4B">
      <w:pPr>
        <w:jc w:val="both"/>
        <w:rPr>
          <w:rFonts w:cs="Times New Roman"/>
          <w:sz w:val="24"/>
          <w:szCs w:val="24"/>
          <w:lang w:val="en-US"/>
        </w:rPr>
      </w:pPr>
    </w:p>
    <w:p w14:paraId="012F3AAB" w14:textId="6076EBF0" w:rsidR="00E364FB" w:rsidRPr="00755A3B" w:rsidRDefault="005021C4" w:rsidP="00CE7D4B">
      <w:pPr>
        <w:pStyle w:val="Heading2"/>
        <w:numPr>
          <w:ilvl w:val="0"/>
          <w:numId w:val="10"/>
        </w:numPr>
        <w:jc w:val="both"/>
        <w:rPr>
          <w:rFonts w:cs="Times New Roman"/>
          <w:szCs w:val="24"/>
          <w:lang w:val="ro-MD"/>
        </w:rPr>
      </w:pPr>
      <w:r w:rsidRPr="00755A3B">
        <w:rPr>
          <w:rFonts w:cs="Times New Roman"/>
          <w:szCs w:val="24"/>
          <w:lang w:val="en-US"/>
        </w:rPr>
        <w:t>Principles</w:t>
      </w:r>
    </w:p>
    <w:p w14:paraId="409994F2" w14:textId="77777777" w:rsidR="00E364FB" w:rsidRPr="00755A3B" w:rsidRDefault="00E364FB" w:rsidP="00CE7D4B">
      <w:pPr>
        <w:pStyle w:val="Heading2"/>
        <w:ind w:left="720"/>
        <w:jc w:val="both"/>
        <w:rPr>
          <w:rFonts w:cs="Times New Roman"/>
          <w:szCs w:val="24"/>
          <w:lang w:val="ro-MD"/>
        </w:rPr>
      </w:pPr>
    </w:p>
    <w:p w14:paraId="1BEFFC1F" w14:textId="77777777" w:rsidR="005021C4" w:rsidRPr="00755A3B" w:rsidRDefault="00C21698" w:rsidP="005021C4">
      <w:pPr>
        <w:spacing w:after="0" w:line="276" w:lineRule="auto"/>
        <w:ind w:firstLine="360"/>
        <w:jc w:val="both"/>
        <w:rPr>
          <w:rFonts w:cs="Times New Roman"/>
          <w:b/>
          <w:bCs/>
          <w:sz w:val="24"/>
          <w:szCs w:val="24"/>
          <w:lang w:val="en-US"/>
        </w:rPr>
      </w:pPr>
      <w:r w:rsidRPr="00755A3B">
        <w:rPr>
          <w:rFonts w:cs="Times New Roman"/>
          <w:bCs/>
          <w:sz w:val="24"/>
          <w:szCs w:val="24"/>
          <w:lang w:val="en-US"/>
        </w:rPr>
        <w:tab/>
      </w:r>
      <w:bookmarkStart w:id="0" w:name="_Hlk213806283"/>
      <w:r w:rsidR="005021C4" w:rsidRPr="00755A3B">
        <w:rPr>
          <w:rFonts w:cs="Times New Roman"/>
          <w:sz w:val="24"/>
          <w:szCs w:val="24"/>
          <w:lang w:val="en-US"/>
        </w:rPr>
        <w:t>The consultant is expected to use a multidisciplinary and participatory methodology to conduct the study. The main principles for conducting the Study will be taken into consideration:</w:t>
      </w:r>
    </w:p>
    <w:p w14:paraId="60A7F479" w14:textId="77777777" w:rsidR="005021C4" w:rsidRPr="00755A3B" w:rsidRDefault="005021C4" w:rsidP="005021C4">
      <w:pPr>
        <w:pStyle w:val="Compact"/>
        <w:numPr>
          <w:ilvl w:val="0"/>
          <w:numId w:val="2"/>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 xml:space="preserve">Integrated spatial data analytics </w:t>
      </w:r>
      <w:r w:rsidRPr="00755A3B">
        <w:rPr>
          <w:rFonts w:ascii="Times New Roman" w:hAnsi="Times New Roman" w:cs="Times New Roman"/>
          <w:lang w:val="en-US"/>
        </w:rPr>
        <w:t>by combining the best practice tools for spatial analysis and environmental assessment. The consultant will integrate data from various sources such as remote sensing images, international water quality databases and EU data portals – with field measurements and local recordings</w:t>
      </w:r>
      <w:hyperlink r:id="rId16" w:anchor=":~:text=range%20of%20chemical%20contaminants%20EMODnet,MSFD%2C%20WFD%2C%20and%20Maritime%20Spatial">
        <w:r w:rsidRPr="00755A3B">
          <w:rPr>
            <w:rStyle w:val="Hyperlink"/>
            <w:rFonts w:ascii="Times New Roman" w:hAnsi="Times New Roman" w:cs="Times New Roman"/>
            <w:lang w:val="en-US"/>
          </w:rPr>
          <w:t>[6].</w:t>
        </w:r>
      </w:hyperlink>
      <w:r w:rsidRPr="00755A3B">
        <w:rPr>
          <w:rFonts w:ascii="Times New Roman" w:hAnsi="Times New Roman" w:cs="Times New Roman"/>
          <w:lang w:val="en-US"/>
        </w:rPr>
        <w:t xml:space="preserve"> This integrated approach ensures a comprehensive understanding of the sub-basin, in line with the DCA's call for holistic, pool-scale management</w:t>
      </w:r>
      <w:hyperlink r:id="rId17" w:anchor=":~:text=,4">
        <w:r w:rsidRPr="00755A3B">
          <w:rPr>
            <w:rStyle w:val="Hyperlink"/>
            <w:rFonts w:ascii="Times New Roman" w:hAnsi="Times New Roman" w:cs="Times New Roman"/>
            <w:lang w:val="en-US"/>
          </w:rPr>
          <w:t>[5].</w:t>
        </w:r>
      </w:hyperlink>
      <w:r w:rsidRPr="00755A3B">
        <w:rPr>
          <w:rFonts w:ascii="Times New Roman" w:hAnsi="Times New Roman" w:cs="Times New Roman"/>
          <w:lang w:val="en-US"/>
        </w:rPr>
        <w:t xml:space="preserve"> GIS technology will be a central tool for data integration, allowing for the overlay of environmental data, infrastructure and socio-economic information.</w:t>
      </w:r>
    </w:p>
    <w:p w14:paraId="265A9D2D" w14:textId="77777777" w:rsidR="005021C4" w:rsidRPr="00755A3B" w:rsidRDefault="005021C4" w:rsidP="005021C4">
      <w:pPr>
        <w:pStyle w:val="Compact"/>
        <w:numPr>
          <w:ilvl w:val="0"/>
          <w:numId w:val="2"/>
        </w:numPr>
        <w:spacing w:line="276" w:lineRule="auto"/>
        <w:jc w:val="both"/>
        <w:rPr>
          <w:rFonts w:ascii="Times New Roman" w:hAnsi="Times New Roman" w:cs="Times New Roman"/>
          <w:lang w:val="en-US"/>
        </w:rPr>
      </w:pPr>
      <w:r w:rsidRPr="00755A3B">
        <w:rPr>
          <w:rFonts w:ascii="Times New Roman" w:hAnsi="Times New Roman" w:cs="Times New Roman"/>
          <w:b/>
          <w:bCs/>
          <w:lang w:val="en-US"/>
        </w:rPr>
        <w:lastRenderedPageBreak/>
        <w:t xml:space="preserve">Rigor in the field and laboratory </w:t>
      </w:r>
      <w:r w:rsidRPr="00755A3B">
        <w:rPr>
          <w:rFonts w:ascii="Times New Roman" w:hAnsi="Times New Roman" w:cs="Times New Roman"/>
          <w:lang w:val="en-US"/>
        </w:rPr>
        <w:t>by using scientifically sound methods for field sampling and laboratory testing. Comply with relevant ISO standards or national standards for water quality testing to ensure data credibility. Any ecological studies (aquatic biota sampling, habitat assessments) should use standard protocols (macroinvertebrate sampling, transects for habitat mapping) so that the results are reliable and comparable to national monitoring data. If some of the data is already available, the effort should not be overlapped with recent similar activities. The data coming from official sources should be used as such in the Study.</w:t>
      </w:r>
    </w:p>
    <w:p w14:paraId="7D4C8B4E" w14:textId="77777777" w:rsidR="005021C4" w:rsidRPr="00755A3B" w:rsidRDefault="005021C4" w:rsidP="005021C4">
      <w:pPr>
        <w:pStyle w:val="Compact"/>
        <w:numPr>
          <w:ilvl w:val="0"/>
          <w:numId w:val="2"/>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Stakeholder centered approach:</w:t>
      </w:r>
      <w:r w:rsidRPr="00755A3B">
        <w:rPr>
          <w:rFonts w:ascii="Times New Roman" w:hAnsi="Times New Roman" w:cs="Times New Roman"/>
          <w:lang w:val="en-US"/>
        </w:rPr>
        <w:t xml:space="preserve"> Base the study on stakeholder input using participatory methods. This could involve participatory mapping (local participants pointing out issues on a map), focus group discussions in communities, and iterative review of findings with stakeholders to validate interpretations. The methodology should ensure transparency stakeholders should feel that they are part of the process, which will help to adopt recommendations.</w:t>
      </w:r>
    </w:p>
    <w:p w14:paraId="7C8925DE" w14:textId="77777777" w:rsidR="005021C4" w:rsidRPr="00755A3B" w:rsidRDefault="005021C4" w:rsidP="005021C4">
      <w:pPr>
        <w:pStyle w:val="Compact"/>
        <w:numPr>
          <w:ilvl w:val="0"/>
          <w:numId w:val="2"/>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 xml:space="preserve">Benchmarking and innovation </w:t>
      </w:r>
      <w:r w:rsidRPr="00755A3B">
        <w:rPr>
          <w:rFonts w:ascii="Times New Roman" w:hAnsi="Times New Roman" w:cs="Times New Roman"/>
          <w:lang w:val="en-US"/>
        </w:rPr>
        <w:t>when applying models or analytical tools as needed to predict outcomes. Use simple water quality modeling to estimate how much reduction in pollutants could be achieved by the photobioreactor under different flow conditions. If available, refer to the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project's digital tools to simulate scenarios. </w:t>
      </w:r>
    </w:p>
    <w:p w14:paraId="347EC3A3" w14:textId="77777777" w:rsidR="005021C4" w:rsidRPr="00755A3B" w:rsidRDefault="005021C4" w:rsidP="005021C4">
      <w:pPr>
        <w:pStyle w:val="Compact"/>
        <w:numPr>
          <w:ilvl w:val="0"/>
          <w:numId w:val="2"/>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Compliance and alignment checks:</w:t>
      </w:r>
      <w:r w:rsidRPr="00755A3B">
        <w:rPr>
          <w:rFonts w:ascii="Times New Roman" w:hAnsi="Times New Roman" w:cs="Times New Roman"/>
          <w:lang w:val="en-US"/>
        </w:rPr>
        <w:t xml:space="preserve"> Throughout the study, check the methods and findings against the EU WFD guidelines and the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methodology such as: To ensure that the environmental status assessment uses elements of the biological and chemical quality of the WFD</w:t>
      </w:r>
      <w:hyperlink r:id="rId18" w:anchor=":~:text=,of%20cost%20recovery%20for%20water">
        <w:r w:rsidRPr="00755A3B">
          <w:rPr>
            <w:rStyle w:val="Hyperlink"/>
            <w:rFonts w:ascii="Times New Roman" w:hAnsi="Times New Roman" w:cs="Times New Roman"/>
            <w:lang w:val="en-US"/>
          </w:rPr>
          <w:t>[16</w:t>
        </w:r>
      </w:hyperlink>
      <w:r w:rsidRPr="00755A3B">
        <w:rPr>
          <w:rFonts w:ascii="Times New Roman" w:hAnsi="Times New Roman" w:cs="Times New Roman"/>
          <w:lang w:val="en-US"/>
        </w:rPr>
        <w:t>]; to ensure that the public consultation approach meets the public participation requirements of the WFD</w:t>
      </w:r>
      <w:hyperlink r:id="rId19" w:anchor=":~:text=emphasis%20on%20the%20ecological%20health,4">
        <w:r w:rsidRPr="00755A3B">
          <w:rPr>
            <w:rStyle w:val="Hyperlink"/>
            <w:rFonts w:ascii="Times New Roman" w:hAnsi="Times New Roman" w:cs="Times New Roman"/>
            <w:lang w:val="en-US"/>
          </w:rPr>
          <w:t xml:space="preserve">[4] </w:t>
        </w:r>
      </w:hyperlink>
      <w:r w:rsidRPr="00755A3B">
        <w:rPr>
          <w:rFonts w:ascii="Times New Roman" w:hAnsi="Times New Roman" w:cs="Times New Roman"/>
          <w:lang w:val="en-US"/>
        </w:rPr>
        <w:t>and to align water remediation proposals with the integrated pollution reduction approach supported by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(the approach of both point sources,  and the contribution of data to broader monitoring initiatives).</w:t>
      </w:r>
    </w:p>
    <w:p w14:paraId="7E242625" w14:textId="77777777" w:rsidR="005021C4" w:rsidRPr="00755A3B" w:rsidRDefault="005021C4" w:rsidP="005021C4">
      <w:pPr>
        <w:pStyle w:val="Compact"/>
        <w:numPr>
          <w:ilvl w:val="0"/>
          <w:numId w:val="2"/>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 xml:space="preserve">Quality control </w:t>
      </w:r>
      <w:r w:rsidRPr="00755A3B">
        <w:rPr>
          <w:rFonts w:ascii="Times New Roman" w:hAnsi="Times New Roman" w:cs="Times New Roman"/>
          <w:lang w:val="en-US"/>
        </w:rPr>
        <w:t>through implementation of internal quality assessments of all deliverables. This may include peer review by an independent expert (outside the core team) like a water treatment specialist or an ecologist who is not involved in day-to-day work, to provide an objective critique of the analysis and to ensure that conclusions are evidence-based. The consultant should keep documentation of all data sources, assumptions and calculations which will be transmitted to the Beneficiary.</w:t>
      </w:r>
    </w:p>
    <w:p w14:paraId="4BD842CA" w14:textId="77777777" w:rsidR="005021C4" w:rsidRPr="00755A3B" w:rsidRDefault="005021C4" w:rsidP="005021C4">
      <w:pPr>
        <w:spacing w:after="0" w:line="360" w:lineRule="auto"/>
        <w:jc w:val="both"/>
        <w:rPr>
          <w:rFonts w:cs="Times New Roman"/>
          <w:i/>
          <w:iCs/>
          <w:sz w:val="24"/>
          <w:szCs w:val="24"/>
          <w:lang w:val="en-US"/>
        </w:rPr>
      </w:pPr>
      <w:r w:rsidRPr="00755A3B">
        <w:rPr>
          <w:rFonts w:cs="Times New Roman"/>
          <w:i/>
          <w:iCs/>
          <w:sz w:val="24"/>
          <w:szCs w:val="24"/>
          <w:lang w:val="en-US"/>
        </w:rPr>
        <w:t>The methodology section above serves as a guide; Bidders/consultants are encouraged to propose their own detailed methodology in their proposals, demonstrating an understanding of the tasks and innovative means to achieve the objectives.</w:t>
      </w:r>
    </w:p>
    <w:bookmarkEnd w:id="0"/>
    <w:p w14:paraId="12170666" w14:textId="77777777" w:rsidR="005021C4" w:rsidRPr="00755A3B" w:rsidRDefault="005021C4" w:rsidP="005021C4">
      <w:pPr>
        <w:pStyle w:val="Heading2"/>
        <w:numPr>
          <w:ilvl w:val="0"/>
          <w:numId w:val="10"/>
        </w:numPr>
        <w:rPr>
          <w:rFonts w:cs="Times New Roman"/>
          <w:szCs w:val="24"/>
          <w:lang w:val="en-US"/>
        </w:rPr>
      </w:pPr>
      <w:r w:rsidRPr="00755A3B">
        <w:rPr>
          <w:rFonts w:cs="Times New Roman"/>
          <w:szCs w:val="24"/>
          <w:lang w:val="en-US"/>
        </w:rPr>
        <w:lastRenderedPageBreak/>
        <w:t>Roadmap</w:t>
      </w:r>
    </w:p>
    <w:p w14:paraId="185D3ADE" w14:textId="77777777" w:rsidR="005021C4" w:rsidRPr="00755A3B" w:rsidRDefault="005021C4" w:rsidP="005021C4">
      <w:pPr>
        <w:pStyle w:val="ListParagraph"/>
        <w:spacing w:after="0"/>
        <w:jc w:val="both"/>
        <w:rPr>
          <w:rFonts w:cs="Times New Roman"/>
          <w:b/>
          <w:bCs/>
          <w:sz w:val="24"/>
          <w:szCs w:val="24"/>
          <w:lang w:val="en-US"/>
        </w:rPr>
      </w:pPr>
    </w:p>
    <w:tbl>
      <w:tblPr>
        <w:tblStyle w:val="TableGrid"/>
        <w:tblW w:w="0" w:type="auto"/>
        <w:tblLook w:val="04A0" w:firstRow="1" w:lastRow="0" w:firstColumn="1" w:lastColumn="0" w:noHBand="0" w:noVBand="1"/>
      </w:tblPr>
      <w:tblGrid>
        <w:gridCol w:w="1435"/>
        <w:gridCol w:w="7909"/>
      </w:tblGrid>
      <w:tr w:rsidR="005021C4" w:rsidRPr="00755A3B" w14:paraId="564D9C75" w14:textId="77777777" w:rsidTr="00A06607">
        <w:tc>
          <w:tcPr>
            <w:tcW w:w="1435" w:type="dxa"/>
            <w:shd w:val="clear" w:color="auto" w:fill="DEEAF6" w:themeFill="accent1" w:themeFillTint="33"/>
          </w:tcPr>
          <w:p w14:paraId="4BA818E2" w14:textId="77777777" w:rsidR="005021C4" w:rsidRPr="00755A3B" w:rsidRDefault="005021C4" w:rsidP="00A06607">
            <w:pPr>
              <w:jc w:val="center"/>
              <w:rPr>
                <w:rFonts w:cs="Times New Roman"/>
                <w:i/>
                <w:iCs/>
                <w:sz w:val="24"/>
                <w:szCs w:val="24"/>
                <w:lang w:val="en-US"/>
              </w:rPr>
            </w:pPr>
            <w:r w:rsidRPr="00755A3B">
              <w:rPr>
                <w:rFonts w:cs="Times New Roman"/>
                <w:i/>
                <w:iCs/>
                <w:sz w:val="24"/>
                <w:szCs w:val="24"/>
                <w:lang w:val="en-US"/>
              </w:rPr>
              <w:t xml:space="preserve">Month </w:t>
            </w:r>
          </w:p>
        </w:tc>
        <w:tc>
          <w:tcPr>
            <w:tcW w:w="7909" w:type="dxa"/>
            <w:shd w:val="clear" w:color="auto" w:fill="DEEAF6" w:themeFill="accent1" w:themeFillTint="33"/>
          </w:tcPr>
          <w:p w14:paraId="0ACF85D3" w14:textId="77777777" w:rsidR="005021C4" w:rsidRPr="00755A3B" w:rsidRDefault="005021C4" w:rsidP="00A06607">
            <w:pPr>
              <w:jc w:val="center"/>
              <w:rPr>
                <w:rFonts w:cs="Times New Roman"/>
                <w:i/>
                <w:iCs/>
                <w:sz w:val="24"/>
                <w:szCs w:val="24"/>
                <w:lang w:val="en-US"/>
              </w:rPr>
            </w:pPr>
            <w:r w:rsidRPr="00755A3B">
              <w:rPr>
                <w:rFonts w:cs="Times New Roman"/>
                <w:i/>
                <w:iCs/>
                <w:sz w:val="24"/>
                <w:szCs w:val="24"/>
                <w:lang w:val="en-US"/>
              </w:rPr>
              <w:t>Structure</w:t>
            </w:r>
          </w:p>
        </w:tc>
      </w:tr>
      <w:tr w:rsidR="005021C4" w:rsidRPr="00573891" w14:paraId="07CE5134" w14:textId="77777777" w:rsidTr="00A06607">
        <w:tc>
          <w:tcPr>
            <w:tcW w:w="1435" w:type="dxa"/>
          </w:tcPr>
          <w:p w14:paraId="7A78262B"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Month- 1</w:t>
            </w:r>
          </w:p>
        </w:tc>
        <w:tc>
          <w:tcPr>
            <w:tcW w:w="7909" w:type="dxa"/>
          </w:tcPr>
          <w:p w14:paraId="6E5D2E83" w14:textId="77777777" w:rsidR="005021C4" w:rsidRPr="00755A3B" w:rsidRDefault="005021C4" w:rsidP="00A06607">
            <w:pPr>
              <w:jc w:val="both"/>
              <w:rPr>
                <w:rFonts w:cs="Times New Roman"/>
                <w:b/>
                <w:bCs/>
                <w:sz w:val="24"/>
                <w:szCs w:val="24"/>
                <w:lang w:val="en-US"/>
              </w:rPr>
            </w:pPr>
            <w:r w:rsidRPr="00755A3B">
              <w:rPr>
                <w:rFonts w:cs="Times New Roman"/>
                <w:b/>
                <w:bCs/>
                <w:sz w:val="24"/>
                <w:szCs w:val="24"/>
                <w:lang w:val="en-US"/>
              </w:rPr>
              <w:t xml:space="preserve">Stakeholder consultations and community engagement </w:t>
            </w:r>
            <w:r w:rsidRPr="00755A3B">
              <w:rPr>
                <w:rFonts w:cs="Times New Roman"/>
                <w:sz w:val="24"/>
                <w:szCs w:val="24"/>
                <w:lang w:val="en-US"/>
              </w:rPr>
              <w:t>to ensure a structured stakeholder engagement process and that the study reflects local perspectives and gains broad support</w:t>
            </w:r>
          </w:p>
        </w:tc>
      </w:tr>
      <w:tr w:rsidR="005021C4" w:rsidRPr="00573891" w14:paraId="5E27629C" w14:textId="77777777" w:rsidTr="00A06607">
        <w:tc>
          <w:tcPr>
            <w:tcW w:w="1435" w:type="dxa"/>
          </w:tcPr>
          <w:p w14:paraId="110DE3E0" w14:textId="1D1E18B4"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w:t>
            </w:r>
            <w:r w:rsidR="002E6A54">
              <w:rPr>
                <w:rFonts w:cs="Times New Roman"/>
                <w:b/>
                <w:bCs/>
                <w:sz w:val="24"/>
                <w:szCs w:val="24"/>
                <w:lang w:val="en-US"/>
              </w:rPr>
              <w:t>-</w:t>
            </w:r>
            <w:r w:rsidRPr="00755A3B">
              <w:rPr>
                <w:rFonts w:cs="Times New Roman"/>
                <w:b/>
                <w:bCs/>
                <w:sz w:val="24"/>
                <w:szCs w:val="24"/>
                <w:lang w:val="en-US"/>
              </w:rPr>
              <w:t>1</w:t>
            </w:r>
          </w:p>
        </w:tc>
        <w:tc>
          <w:tcPr>
            <w:tcW w:w="7909" w:type="dxa"/>
          </w:tcPr>
          <w:p w14:paraId="5CEBD3C0" w14:textId="26A6629F"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 xml:space="preserve">Mapping of stakeholders, </w:t>
            </w:r>
            <w:r w:rsidRPr="00755A3B">
              <w:rPr>
                <w:rFonts w:ascii="Times New Roman" w:hAnsi="Times New Roman" w:cs="Times New Roman"/>
                <w:lang w:val="en-US"/>
              </w:rPr>
              <w:t xml:space="preserve">identification of all relevant stakeholders for the </w:t>
            </w:r>
            <w:proofErr w:type="spellStart"/>
            <w:r w:rsidRPr="00755A3B">
              <w:rPr>
                <w:rFonts w:ascii="Times New Roman" w:hAnsi="Times New Roman" w:cs="Times New Roman"/>
                <w:lang w:val="en-US"/>
              </w:rPr>
              <w:t>Isnovăț</w:t>
            </w:r>
            <w:proofErr w:type="spellEnd"/>
            <w:r w:rsidRPr="00755A3B">
              <w:rPr>
                <w:rFonts w:ascii="Times New Roman" w:hAnsi="Times New Roman" w:cs="Times New Roman"/>
                <w:lang w:val="en-US"/>
              </w:rPr>
              <w:t xml:space="preserve"> sub-basin and proposed remediation approach. These include at least: the Ministry of Environment, the "</w:t>
            </w:r>
            <w:proofErr w:type="spellStart"/>
            <w:r w:rsidRPr="00755A3B">
              <w:rPr>
                <w:rFonts w:ascii="Times New Roman" w:hAnsi="Times New Roman" w:cs="Times New Roman"/>
                <w:lang w:val="en-US"/>
              </w:rPr>
              <w:t>Apele</w:t>
            </w:r>
            <w:proofErr w:type="spellEnd"/>
            <w:r w:rsidRPr="00755A3B">
              <w:rPr>
                <w:rFonts w:ascii="Times New Roman" w:hAnsi="Times New Roman" w:cs="Times New Roman"/>
                <w:lang w:val="en-US"/>
              </w:rPr>
              <w:t xml:space="preserve"> </w:t>
            </w:r>
            <w:proofErr w:type="spellStart"/>
            <w:r w:rsidRPr="00755A3B">
              <w:rPr>
                <w:rFonts w:ascii="Times New Roman" w:hAnsi="Times New Roman" w:cs="Times New Roman"/>
                <w:lang w:val="en-US"/>
              </w:rPr>
              <w:t>Moldovei</w:t>
            </w:r>
            <w:proofErr w:type="spellEnd"/>
            <w:r w:rsidRPr="00755A3B">
              <w:rPr>
                <w:rFonts w:ascii="Times New Roman" w:hAnsi="Times New Roman" w:cs="Times New Roman"/>
                <w:lang w:val="en-US"/>
              </w:rPr>
              <w:t>" Authority), local environmental authorities (Environment Agency), public authorities, local authorities and mayors in the sub-basin, community leaders or associations of water users, local NGOs active in the field of the environment and possibly the technology provider or experts from the international consortium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w:t>
            </w:r>
          </w:p>
        </w:tc>
      </w:tr>
      <w:tr w:rsidR="00755A3B" w:rsidRPr="00573891" w14:paraId="7009C062" w14:textId="77777777" w:rsidTr="00A06607">
        <w:tc>
          <w:tcPr>
            <w:tcW w:w="1435" w:type="dxa"/>
          </w:tcPr>
          <w:p w14:paraId="27FEF029"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1-2</w:t>
            </w:r>
          </w:p>
        </w:tc>
        <w:tc>
          <w:tcPr>
            <w:tcW w:w="7909" w:type="dxa"/>
          </w:tcPr>
          <w:p w14:paraId="7A50278A" w14:textId="77777777" w:rsidR="005021C4" w:rsidRPr="00755A3B" w:rsidRDefault="005021C4" w:rsidP="00A06607">
            <w:pPr>
              <w:pStyle w:val="Compact"/>
              <w:jc w:val="both"/>
              <w:rPr>
                <w:rFonts w:ascii="Times New Roman" w:hAnsi="Times New Roman" w:cs="Times New Roman"/>
                <w:b/>
                <w:bCs/>
                <w:lang w:val="en-US"/>
              </w:rPr>
            </w:pPr>
            <w:r w:rsidRPr="00755A3B">
              <w:rPr>
                <w:rFonts w:ascii="Times New Roman" w:hAnsi="Times New Roman" w:cs="Times New Roman"/>
                <w:b/>
                <w:bCs/>
                <w:lang w:val="en-US"/>
              </w:rPr>
              <w:t xml:space="preserve">Organize minimum 5 visits </w:t>
            </w:r>
            <w:r w:rsidRPr="00755A3B">
              <w:rPr>
                <w:rFonts w:ascii="Times New Roman" w:hAnsi="Times New Roman" w:cs="Times New Roman"/>
                <w:lang w:val="en-US"/>
              </w:rPr>
              <w:t xml:space="preserve">to study the 5 Local Public Authorities and </w:t>
            </w:r>
            <w:proofErr w:type="spellStart"/>
            <w:r w:rsidRPr="00755A3B">
              <w:rPr>
                <w:rFonts w:ascii="Times New Roman" w:hAnsi="Times New Roman" w:cs="Times New Roman"/>
                <w:lang w:val="en-US"/>
              </w:rPr>
              <w:t>Isnovat</w:t>
            </w:r>
            <w:proofErr w:type="spellEnd"/>
            <w:r w:rsidRPr="00755A3B">
              <w:rPr>
                <w:rFonts w:ascii="Times New Roman" w:hAnsi="Times New Roman" w:cs="Times New Roman"/>
                <w:lang w:val="en-US"/>
              </w:rPr>
              <w:t xml:space="preserve"> basin environment for scientific statements, observations, data collection, communication with community and LPA etc.</w:t>
            </w:r>
          </w:p>
        </w:tc>
      </w:tr>
      <w:tr w:rsidR="005021C4" w:rsidRPr="00573891" w14:paraId="74570A68" w14:textId="77777777" w:rsidTr="00A06607">
        <w:tc>
          <w:tcPr>
            <w:tcW w:w="1435" w:type="dxa"/>
          </w:tcPr>
          <w:p w14:paraId="41265521"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1-2</w:t>
            </w:r>
          </w:p>
        </w:tc>
        <w:tc>
          <w:tcPr>
            <w:tcW w:w="7909" w:type="dxa"/>
          </w:tcPr>
          <w:p w14:paraId="769CB19F" w14:textId="1836DE50"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 xml:space="preserve">Consultation meetings/workshops, </w:t>
            </w:r>
            <w:r w:rsidR="00573891" w:rsidRPr="00755A3B">
              <w:rPr>
                <w:rFonts w:ascii="Times New Roman" w:hAnsi="Times New Roman" w:cs="Times New Roman"/>
                <w:lang w:val="en-US"/>
              </w:rPr>
              <w:t>organizing</w:t>
            </w:r>
            <w:r w:rsidRPr="00755A3B">
              <w:rPr>
                <w:rFonts w:ascii="Times New Roman" w:hAnsi="Times New Roman" w:cs="Times New Roman"/>
                <w:lang w:val="en-US"/>
              </w:rPr>
              <w:t xml:space="preserve"> consultation sessions such as stakeholder workshops or focused interviews. An on-line 1</w:t>
            </w:r>
            <w:r w:rsidRPr="00755A3B">
              <w:rPr>
                <w:rFonts w:ascii="Times New Roman" w:hAnsi="Times New Roman" w:cs="Times New Roman"/>
                <w:vertAlign w:val="superscript"/>
                <w:lang w:val="en-US"/>
              </w:rPr>
              <w:t>st</w:t>
            </w:r>
            <w:r w:rsidRPr="00755A3B">
              <w:rPr>
                <w:rFonts w:ascii="Times New Roman" w:hAnsi="Times New Roman" w:cs="Times New Roman"/>
                <w:lang w:val="en-US"/>
              </w:rPr>
              <w:t>- W</w:t>
            </w:r>
            <w:r w:rsidRPr="00755A3B">
              <w:rPr>
                <w:rFonts w:ascii="Times New Roman" w:hAnsi="Times New Roman" w:cs="Times New Roman"/>
                <w:b/>
                <w:bCs/>
                <w:lang w:val="en-US"/>
              </w:rPr>
              <w:t>orkshop</w:t>
            </w:r>
            <w:r w:rsidRPr="00755A3B">
              <w:rPr>
                <w:rFonts w:ascii="Times New Roman" w:hAnsi="Times New Roman" w:cs="Times New Roman"/>
                <w:lang w:val="en-US"/>
              </w:rPr>
              <w:t xml:space="preserve"> (November 2025) to share the methodology for the study and collect initial input from stakeholders on issues and expectations. Later, a 2</w:t>
            </w:r>
            <w:r w:rsidRPr="00755A3B">
              <w:rPr>
                <w:rFonts w:ascii="Times New Roman" w:hAnsi="Times New Roman" w:cs="Times New Roman"/>
                <w:vertAlign w:val="superscript"/>
                <w:lang w:val="en-US"/>
              </w:rPr>
              <w:t>nd</w:t>
            </w:r>
            <w:r w:rsidRPr="00755A3B">
              <w:rPr>
                <w:rFonts w:ascii="Times New Roman" w:hAnsi="Times New Roman" w:cs="Times New Roman"/>
                <w:lang w:val="en-US"/>
              </w:rPr>
              <w:t xml:space="preserve"> </w:t>
            </w:r>
            <w:r w:rsidRPr="00755A3B">
              <w:rPr>
                <w:rFonts w:ascii="Times New Roman" w:hAnsi="Times New Roman" w:cs="Times New Roman"/>
                <w:b/>
                <w:bCs/>
                <w:lang w:val="en-US"/>
              </w:rPr>
              <w:t>Co-creation workshop</w:t>
            </w:r>
            <w:r w:rsidRPr="00755A3B">
              <w:rPr>
                <w:rFonts w:ascii="Times New Roman" w:hAnsi="Times New Roman" w:cs="Times New Roman"/>
                <w:lang w:val="en-US"/>
              </w:rPr>
              <w:t xml:space="preserve"> (December) will be organized to discuss the initial results (baseline level, problems identified) and to find feasible solutions together. Ensure 5-community representation in these meetings so that the voices of local citizens are heard (farmers concerned about water for irrigation or villagers concerned about river health). The 3</w:t>
            </w:r>
            <w:r w:rsidRPr="00755A3B">
              <w:rPr>
                <w:rFonts w:ascii="Times New Roman" w:hAnsi="Times New Roman" w:cs="Times New Roman"/>
                <w:vertAlign w:val="superscript"/>
                <w:lang w:val="en-US"/>
              </w:rPr>
              <w:t>rd</w:t>
            </w:r>
            <w:r w:rsidRPr="00755A3B">
              <w:rPr>
                <w:rFonts w:ascii="Times New Roman" w:hAnsi="Times New Roman" w:cs="Times New Roman"/>
                <w:lang w:val="en-US"/>
              </w:rPr>
              <w:t xml:space="preserve"> Workshop to present the Report of the Feasibility Study and the RoadMap.</w:t>
            </w:r>
          </w:p>
        </w:tc>
      </w:tr>
      <w:tr w:rsidR="005021C4" w:rsidRPr="00573891" w14:paraId="690C3F0B" w14:textId="77777777" w:rsidTr="00A06607">
        <w:tc>
          <w:tcPr>
            <w:tcW w:w="1435" w:type="dxa"/>
          </w:tcPr>
          <w:p w14:paraId="4A373C7B"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2</w:t>
            </w:r>
          </w:p>
        </w:tc>
        <w:tc>
          <w:tcPr>
            <w:tcW w:w="7909" w:type="dxa"/>
          </w:tcPr>
          <w:p w14:paraId="44180889" w14:textId="77777777" w:rsidR="005021C4" w:rsidRPr="00755A3B" w:rsidRDefault="005021C4" w:rsidP="00A06607">
            <w:pPr>
              <w:pStyle w:val="Compact"/>
              <w:jc w:val="both"/>
              <w:rPr>
                <w:rFonts w:ascii="Times New Roman" w:hAnsi="Times New Roman" w:cs="Times New Roman"/>
                <w:highlight w:val="yellow"/>
                <w:lang w:val="en-US"/>
              </w:rPr>
            </w:pPr>
            <w:r w:rsidRPr="00755A3B">
              <w:rPr>
                <w:rFonts w:ascii="Times New Roman" w:hAnsi="Times New Roman" w:cs="Times New Roman"/>
                <w:b/>
                <w:bCs/>
                <w:lang w:val="en-US"/>
              </w:rPr>
              <w:t xml:space="preserve">Dissemination of information by </w:t>
            </w:r>
            <w:r w:rsidRPr="00755A3B">
              <w:rPr>
                <w:rFonts w:ascii="Times New Roman" w:hAnsi="Times New Roman" w:cs="Times New Roman"/>
                <w:lang w:val="en-US"/>
              </w:rPr>
              <w:t>providing clear information in appropriate language about what the GREEN DUNE technology is and what the feasibility study evaluates. Materials such as short flyers or presentations can help demystify the concept for non-technical stakeholders, highlighting benefits such as improved water cleanliness and the potential reuse of algal biomass (for fertilizer or other uses).</w:t>
            </w:r>
          </w:p>
        </w:tc>
      </w:tr>
      <w:tr w:rsidR="005021C4" w:rsidRPr="00573891" w14:paraId="27785F0F" w14:textId="77777777" w:rsidTr="00A06607">
        <w:tc>
          <w:tcPr>
            <w:tcW w:w="1435" w:type="dxa"/>
          </w:tcPr>
          <w:p w14:paraId="15DB6995"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4</w:t>
            </w:r>
          </w:p>
        </w:tc>
        <w:tc>
          <w:tcPr>
            <w:tcW w:w="7909" w:type="dxa"/>
          </w:tcPr>
          <w:p w14:paraId="1D6E31C7" w14:textId="77777777" w:rsidR="005021C4" w:rsidRPr="00755A3B" w:rsidRDefault="005021C4" w:rsidP="00A06607">
            <w:pPr>
              <w:spacing w:after="200"/>
              <w:jc w:val="both"/>
              <w:rPr>
                <w:rFonts w:cs="Times New Roman"/>
                <w:sz w:val="24"/>
                <w:szCs w:val="24"/>
                <w:highlight w:val="yellow"/>
                <w:lang w:val="en-US"/>
              </w:rPr>
            </w:pPr>
            <w:r w:rsidRPr="00755A3B">
              <w:rPr>
                <w:rFonts w:cs="Times New Roman"/>
                <w:b/>
                <w:bCs/>
                <w:sz w:val="24"/>
                <w:szCs w:val="24"/>
                <w:lang w:val="en-US"/>
              </w:rPr>
              <w:t xml:space="preserve">Integration of feedback </w:t>
            </w:r>
            <w:r w:rsidRPr="00755A3B">
              <w:rPr>
                <w:rFonts w:cs="Times New Roman"/>
                <w:sz w:val="24"/>
                <w:szCs w:val="24"/>
                <w:lang w:val="en-US"/>
              </w:rPr>
              <w:t>documenting all stakeholder input and concerns. The subcontractor should integrate the knowledge of stakeholders (local history of pollution events or traditional uses of the river) into the Final Report. Identify any potential social impediments (such as land ownership issues for the location of a photobioreactor or community skepticism) and address them in the study's recommendations. Stakeholder engagement not only fulfils the participatory approach required by the WFD</w:t>
            </w:r>
            <w:hyperlink r:id="rId20" w:anchor=":~:text=emphasis%20on%20the%20ecological%20health,4">
              <w:r w:rsidRPr="00755A3B">
                <w:rPr>
                  <w:rStyle w:val="Hyperlink"/>
                  <w:rFonts w:cs="Times New Roman"/>
                  <w:sz w:val="24"/>
                  <w:szCs w:val="24"/>
                  <w:lang w:val="en-US"/>
                </w:rPr>
                <w:t xml:space="preserve">[4], </w:t>
              </w:r>
            </w:hyperlink>
            <w:r w:rsidRPr="00755A3B">
              <w:rPr>
                <w:rFonts w:cs="Times New Roman"/>
                <w:sz w:val="24"/>
                <w:szCs w:val="24"/>
                <w:lang w:val="en-US"/>
              </w:rPr>
              <w:t>but will also pave the way for easier implementation if the project continues.</w:t>
            </w:r>
          </w:p>
        </w:tc>
      </w:tr>
      <w:tr w:rsidR="005021C4" w:rsidRPr="00573891" w14:paraId="2D7322B4" w14:textId="77777777" w:rsidTr="00A06607">
        <w:tc>
          <w:tcPr>
            <w:tcW w:w="1435" w:type="dxa"/>
          </w:tcPr>
          <w:p w14:paraId="4FE38C07"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lastRenderedPageBreak/>
              <w:t>Month 3-4</w:t>
            </w:r>
          </w:p>
        </w:tc>
        <w:tc>
          <w:tcPr>
            <w:tcW w:w="7909" w:type="dxa"/>
          </w:tcPr>
          <w:p w14:paraId="677FD09E" w14:textId="77777777" w:rsidR="005021C4" w:rsidRPr="00755A3B" w:rsidRDefault="005021C4" w:rsidP="00A06607">
            <w:pPr>
              <w:spacing w:after="200"/>
              <w:jc w:val="both"/>
              <w:rPr>
                <w:rFonts w:cs="Times New Roman"/>
                <w:b/>
                <w:bCs/>
                <w:sz w:val="24"/>
                <w:szCs w:val="24"/>
                <w:highlight w:val="yellow"/>
                <w:lang w:val="en-US"/>
              </w:rPr>
            </w:pPr>
            <w:r w:rsidRPr="00755A3B">
              <w:rPr>
                <w:rFonts w:cs="Times New Roman"/>
                <w:b/>
                <w:bCs/>
                <w:sz w:val="24"/>
                <w:szCs w:val="24"/>
                <w:lang w:val="en-US"/>
              </w:rPr>
              <w:t xml:space="preserve">Regulatory and institutional analysis </w:t>
            </w:r>
            <w:r w:rsidRPr="00755A3B">
              <w:rPr>
                <w:rFonts w:cs="Times New Roman"/>
                <w:sz w:val="24"/>
                <w:szCs w:val="24"/>
                <w:lang w:val="en-US"/>
              </w:rPr>
              <w:t xml:space="preserve">by reviewing the political, legal and institutional framework relevant to the implementation of the GREEN DUNE® remediation in Moldova and especially in the context of the </w:t>
            </w:r>
            <w:proofErr w:type="spellStart"/>
            <w:r w:rsidRPr="00755A3B">
              <w:rPr>
                <w:rFonts w:cs="Times New Roman"/>
                <w:sz w:val="24"/>
                <w:szCs w:val="24"/>
                <w:lang w:val="en-US"/>
              </w:rPr>
              <w:t>Isnovăț</w:t>
            </w:r>
            <w:proofErr w:type="spellEnd"/>
            <w:r w:rsidRPr="00755A3B">
              <w:rPr>
                <w:rFonts w:cs="Times New Roman"/>
                <w:sz w:val="24"/>
                <w:szCs w:val="24"/>
                <w:lang w:val="en-US"/>
              </w:rPr>
              <w:t>/</w:t>
            </w:r>
            <w:proofErr w:type="spellStart"/>
            <w:r w:rsidRPr="00755A3B">
              <w:rPr>
                <w:rFonts w:cs="Times New Roman"/>
                <w:sz w:val="24"/>
                <w:szCs w:val="24"/>
                <w:lang w:val="en-US"/>
              </w:rPr>
              <w:t>Bîc</w:t>
            </w:r>
            <w:proofErr w:type="spellEnd"/>
            <w:r w:rsidRPr="00755A3B">
              <w:rPr>
                <w:rFonts w:cs="Times New Roman"/>
                <w:sz w:val="24"/>
                <w:szCs w:val="24"/>
                <w:lang w:val="en-US"/>
              </w:rPr>
              <w:t xml:space="preserve"> basin.</w:t>
            </w:r>
          </w:p>
        </w:tc>
      </w:tr>
      <w:tr w:rsidR="005021C4" w:rsidRPr="00573891" w14:paraId="1F7746D1" w14:textId="77777777" w:rsidTr="00A06607">
        <w:tc>
          <w:tcPr>
            <w:tcW w:w="1435" w:type="dxa"/>
          </w:tcPr>
          <w:p w14:paraId="35071D0C"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3-4</w:t>
            </w:r>
          </w:p>
        </w:tc>
        <w:tc>
          <w:tcPr>
            <w:tcW w:w="7909" w:type="dxa"/>
          </w:tcPr>
          <w:p w14:paraId="6CF21E0A"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Policy alignment and analysis</w:t>
            </w:r>
            <w:r w:rsidRPr="00755A3B">
              <w:rPr>
                <w:rFonts w:ascii="Times New Roman" w:hAnsi="Times New Roman" w:cs="Times New Roman"/>
                <w:lang w:val="en-US"/>
              </w:rPr>
              <w:t xml:space="preserve"> of how the intervention would align with Moldova's water management policies and international commitments. This includes the River Basin Management Plan for the Dniester Basin (if </w:t>
            </w:r>
            <w:proofErr w:type="spellStart"/>
            <w:r w:rsidRPr="00755A3B">
              <w:rPr>
                <w:rFonts w:ascii="Times New Roman" w:hAnsi="Times New Roman" w:cs="Times New Roman"/>
                <w:lang w:val="en-US"/>
              </w:rPr>
              <w:t>Isnovăț</w:t>
            </w:r>
            <w:proofErr w:type="spellEnd"/>
            <w:r w:rsidRPr="00755A3B">
              <w:rPr>
                <w:rFonts w:ascii="Times New Roman" w:hAnsi="Times New Roman" w:cs="Times New Roman"/>
                <w:lang w:val="en-US"/>
              </w:rPr>
              <w:t xml:space="preserve"> feeds the Dniester through the Bic), the objectives of the National Water Strategy and the obligations under the EU Water Framework Directive (noting that Moldova, although not a member of the EU, aligns water legislation with the WFD. Ensure that the project supports the WFD's objective of achieving good environmental and chemical status</w:t>
            </w:r>
            <w:hyperlink r:id="rId21" w:anchor=":~:text=protecting%20water%20resources%20across%20Europe,1">
              <w:r w:rsidRPr="00755A3B">
                <w:rPr>
                  <w:rStyle w:val="Hyperlink"/>
                  <w:rFonts w:ascii="Times New Roman" w:hAnsi="Times New Roman" w:cs="Times New Roman"/>
                  <w:lang w:val="en-US"/>
                </w:rPr>
                <w:t>[8]</w:t>
              </w:r>
            </w:hyperlink>
            <w:r w:rsidRPr="00755A3B">
              <w:rPr>
                <w:rFonts w:ascii="Times New Roman" w:hAnsi="Times New Roman" w:cs="Times New Roman"/>
                <w:lang w:val="en-US"/>
              </w:rPr>
              <w:t xml:space="preserve"> and follows key principles such as integrated basin management and ecosystem approach</w:t>
            </w:r>
            <w:hyperlink r:id="rId22" w:anchor=":~:text=,4">
              <w:r w:rsidRPr="00755A3B">
                <w:rPr>
                  <w:rStyle w:val="Hyperlink"/>
                  <w:rFonts w:ascii="Times New Roman" w:hAnsi="Times New Roman" w:cs="Times New Roman"/>
                  <w:lang w:val="en-US"/>
                </w:rPr>
                <w:t>[5].</w:t>
              </w:r>
            </w:hyperlink>
          </w:p>
        </w:tc>
      </w:tr>
      <w:tr w:rsidR="005021C4" w:rsidRPr="00573891" w14:paraId="4B501EBA" w14:textId="77777777" w:rsidTr="00A06607">
        <w:tc>
          <w:tcPr>
            <w:tcW w:w="1435" w:type="dxa"/>
          </w:tcPr>
          <w:p w14:paraId="3DE48A08"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3-4</w:t>
            </w:r>
          </w:p>
        </w:tc>
        <w:tc>
          <w:tcPr>
            <w:tcW w:w="7909" w:type="dxa"/>
          </w:tcPr>
          <w:p w14:paraId="0390210A" w14:textId="77777777" w:rsidR="005021C4" w:rsidRPr="00755A3B" w:rsidRDefault="005021C4" w:rsidP="00A06607">
            <w:pPr>
              <w:pStyle w:val="Compact"/>
              <w:jc w:val="both"/>
              <w:rPr>
                <w:rFonts w:ascii="Times New Roman" w:hAnsi="Times New Roman" w:cs="Times New Roman"/>
                <w:b/>
                <w:bCs/>
                <w:highlight w:val="yellow"/>
                <w:lang w:val="en-US"/>
              </w:rPr>
            </w:pPr>
            <w:r w:rsidRPr="00755A3B">
              <w:rPr>
                <w:rFonts w:ascii="Times New Roman" w:hAnsi="Times New Roman" w:cs="Times New Roman"/>
                <w:b/>
                <w:bCs/>
                <w:lang w:val="en-US"/>
              </w:rPr>
              <w:t xml:space="preserve">Legal feasibility </w:t>
            </w:r>
            <w:r w:rsidRPr="00755A3B">
              <w:rPr>
                <w:rFonts w:ascii="Times New Roman" w:hAnsi="Times New Roman" w:cs="Times New Roman"/>
                <w:lang w:val="en-US"/>
              </w:rPr>
              <w:t>by</w:t>
            </w:r>
            <w:r w:rsidRPr="00755A3B">
              <w:rPr>
                <w:rFonts w:ascii="Times New Roman" w:hAnsi="Times New Roman" w:cs="Times New Roman"/>
                <w:b/>
                <w:bCs/>
                <w:lang w:val="en-US"/>
              </w:rPr>
              <w:t xml:space="preserve"> </w:t>
            </w:r>
            <w:r w:rsidRPr="00755A3B">
              <w:rPr>
                <w:rFonts w:ascii="Times New Roman" w:hAnsi="Times New Roman" w:cs="Times New Roman"/>
                <w:lang w:val="en-US"/>
              </w:rPr>
              <w:t>identifying any legal authorizations or approvals required for piloting or installing a microalgae photobioreactor. Analyze the discharge permits if the treated water is released back into a river, land use permits for the construction of the facility, or environmental impact assessment (EIA) requirements for such a pilot project. Assessment of whether the GREEN DUNE technology (as a tertiary treatment unit) meets Moldovan standards for wastewater treatment and effluent discharge. The analysis should refer to the relevant laws (water law, environmental protection law, etc.) and highlight any regulatory gaps or barriers.</w:t>
            </w:r>
          </w:p>
        </w:tc>
      </w:tr>
      <w:tr w:rsidR="005021C4" w:rsidRPr="00573891" w14:paraId="6E3F5D1A" w14:textId="77777777" w:rsidTr="00A06607">
        <w:tc>
          <w:tcPr>
            <w:tcW w:w="1435" w:type="dxa"/>
          </w:tcPr>
          <w:p w14:paraId="5BB791D9" w14:textId="0BFB670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3-</w:t>
            </w:r>
            <w:r w:rsidR="00573891">
              <w:rPr>
                <w:rFonts w:cs="Times New Roman"/>
                <w:b/>
                <w:bCs/>
                <w:sz w:val="24"/>
                <w:szCs w:val="24"/>
                <w:lang w:val="en-US"/>
              </w:rPr>
              <w:t>5</w:t>
            </w:r>
          </w:p>
        </w:tc>
        <w:tc>
          <w:tcPr>
            <w:tcW w:w="7909" w:type="dxa"/>
          </w:tcPr>
          <w:p w14:paraId="2C63083A" w14:textId="77777777" w:rsidR="005021C4" w:rsidRPr="00755A3B" w:rsidRDefault="005021C4" w:rsidP="00A06607">
            <w:pPr>
              <w:pStyle w:val="Compact"/>
              <w:tabs>
                <w:tab w:val="left" w:pos="6975"/>
              </w:tabs>
              <w:jc w:val="both"/>
              <w:rPr>
                <w:rFonts w:ascii="Times New Roman" w:hAnsi="Times New Roman" w:cs="Times New Roman"/>
                <w:b/>
                <w:bCs/>
                <w:highlight w:val="yellow"/>
                <w:lang w:val="en-US"/>
              </w:rPr>
            </w:pPr>
            <w:r w:rsidRPr="00755A3B">
              <w:rPr>
                <w:rFonts w:ascii="Times New Roman" w:hAnsi="Times New Roman" w:cs="Times New Roman"/>
                <w:b/>
                <w:bCs/>
                <w:lang w:val="en-US"/>
              </w:rPr>
              <w:t xml:space="preserve">Institutional roles by </w:t>
            </w:r>
            <w:r w:rsidRPr="00755A3B">
              <w:rPr>
                <w:rFonts w:ascii="Times New Roman" w:hAnsi="Times New Roman" w:cs="Times New Roman"/>
                <w:lang w:val="en-US"/>
              </w:rPr>
              <w:t xml:space="preserve">clarifying the roles and capacities of the institutions in implementation. For example, confirm the mandate of </w:t>
            </w:r>
            <w:proofErr w:type="spellStart"/>
            <w:r w:rsidRPr="00755A3B">
              <w:rPr>
                <w:rFonts w:ascii="Times New Roman" w:hAnsi="Times New Roman" w:cs="Times New Roman"/>
                <w:lang w:val="en-US"/>
              </w:rPr>
              <w:t>Apele</w:t>
            </w:r>
            <w:proofErr w:type="spellEnd"/>
            <w:r w:rsidRPr="00755A3B">
              <w:rPr>
                <w:rFonts w:ascii="Times New Roman" w:hAnsi="Times New Roman" w:cs="Times New Roman"/>
                <w:lang w:val="en-US"/>
              </w:rPr>
              <w:t xml:space="preserve"> </w:t>
            </w:r>
            <w:proofErr w:type="spellStart"/>
            <w:r w:rsidRPr="00755A3B">
              <w:rPr>
                <w:rFonts w:ascii="Times New Roman" w:hAnsi="Times New Roman" w:cs="Times New Roman"/>
                <w:lang w:val="en-US"/>
              </w:rPr>
              <w:t>Moldovei</w:t>
            </w:r>
            <w:proofErr w:type="spellEnd"/>
            <w:r w:rsidRPr="00755A3B">
              <w:rPr>
                <w:rFonts w:ascii="Times New Roman" w:hAnsi="Times New Roman" w:cs="Times New Roman"/>
                <w:lang w:val="en-US"/>
              </w:rPr>
              <w:t xml:space="preserve"> to host or manage such a pilot project, the role of the local government (for the provision of a site or utilities) and the involvement of research entities (such as the Institute of Zoology or technical universities) in monitoring or operating the system. Determine if institutional consolidation or training would be required so that local staff can operate and maintain the photobioreactor technology</w:t>
            </w:r>
          </w:p>
        </w:tc>
      </w:tr>
      <w:tr w:rsidR="005021C4" w:rsidRPr="00573891" w14:paraId="717F3704" w14:textId="77777777" w:rsidTr="00A06607">
        <w:tc>
          <w:tcPr>
            <w:tcW w:w="1435" w:type="dxa"/>
          </w:tcPr>
          <w:p w14:paraId="0FE3ABF4"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3-4</w:t>
            </w:r>
          </w:p>
        </w:tc>
        <w:tc>
          <w:tcPr>
            <w:tcW w:w="7909" w:type="dxa"/>
          </w:tcPr>
          <w:p w14:paraId="2C486CB5" w14:textId="77777777" w:rsidR="005021C4" w:rsidRPr="00755A3B" w:rsidRDefault="005021C4" w:rsidP="00A06607">
            <w:pPr>
              <w:spacing w:after="200"/>
              <w:jc w:val="both"/>
              <w:rPr>
                <w:rFonts w:cs="Times New Roman"/>
                <w:sz w:val="24"/>
                <w:szCs w:val="24"/>
                <w:highlight w:val="yellow"/>
                <w:lang w:val="en-US"/>
              </w:rPr>
            </w:pPr>
            <w:r w:rsidRPr="00755A3B">
              <w:rPr>
                <w:rFonts w:cs="Times New Roman"/>
                <w:b/>
                <w:bCs/>
                <w:sz w:val="24"/>
                <w:szCs w:val="24"/>
                <w:lang w:val="en-US"/>
              </w:rPr>
              <w:t xml:space="preserve">Standards and </w:t>
            </w:r>
            <w:r w:rsidRPr="00755A3B">
              <w:rPr>
                <w:rFonts w:cs="Times New Roman"/>
                <w:sz w:val="24"/>
                <w:szCs w:val="24"/>
                <w:lang w:val="en-US"/>
              </w:rPr>
              <w:t>guidelines when verifying any existing guidelines or standards on nature-based solutions or algae-based treatment in Moldova or the region. If there are none, keep in mind that international best practices (EU guidelines, supplier manuals, etc.) will be followed. The recommendations of the study should ensure that the proposed application of GREEN DUNE complies with both national regulations and the spirit of EU directives (such as the WFD and possibly the Marine Strategy Framework Directive for downstream considerations in the Black Sea), thus providing a credible and compliant solution</w:t>
            </w:r>
            <w:hyperlink r:id="rId23" w:anchor=":~:text=range%20of%20chemical%20contaminants%20EMODnet,WFD%2C%20and%20Maritime%20Spatial%20Planning">
              <w:r w:rsidRPr="00755A3B">
                <w:rPr>
                  <w:rStyle w:val="Hyperlink"/>
                  <w:rFonts w:cs="Times New Roman"/>
                  <w:sz w:val="24"/>
                  <w:szCs w:val="24"/>
                  <w:lang w:val="en-US"/>
                </w:rPr>
                <w:t>[9].</w:t>
              </w:r>
            </w:hyperlink>
          </w:p>
        </w:tc>
      </w:tr>
      <w:tr w:rsidR="005021C4" w:rsidRPr="00573891" w14:paraId="7A7CDB4A" w14:textId="77777777" w:rsidTr="00A06607">
        <w:tc>
          <w:tcPr>
            <w:tcW w:w="1435" w:type="dxa"/>
          </w:tcPr>
          <w:p w14:paraId="386E776F"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lastRenderedPageBreak/>
              <w:t>Month 1-4</w:t>
            </w:r>
          </w:p>
        </w:tc>
        <w:tc>
          <w:tcPr>
            <w:tcW w:w="7909" w:type="dxa"/>
          </w:tcPr>
          <w:p w14:paraId="00E8B538" w14:textId="77777777" w:rsidR="005021C4" w:rsidRPr="00755A3B" w:rsidRDefault="005021C4" w:rsidP="00A06607">
            <w:pPr>
              <w:spacing w:after="200"/>
              <w:jc w:val="both"/>
              <w:rPr>
                <w:rFonts w:cs="Times New Roman"/>
                <w:sz w:val="24"/>
                <w:szCs w:val="24"/>
                <w:highlight w:val="yellow"/>
                <w:lang w:val="en-US"/>
              </w:rPr>
            </w:pPr>
            <w:r w:rsidRPr="00755A3B">
              <w:rPr>
                <w:rFonts w:cs="Times New Roman"/>
                <w:b/>
                <w:bCs/>
                <w:sz w:val="24"/>
                <w:szCs w:val="24"/>
                <w:lang w:val="en-US"/>
              </w:rPr>
              <w:t xml:space="preserve">The technical feasibility assessment conducts an in-depth technical analysis </w:t>
            </w:r>
            <w:r w:rsidRPr="00755A3B">
              <w:rPr>
                <w:rFonts w:cs="Times New Roman"/>
                <w:sz w:val="24"/>
                <w:szCs w:val="24"/>
                <w:lang w:val="en-US"/>
              </w:rPr>
              <w:t>to determine the viability of the implementation of the GREEN DUNE® system in the sub-basin.</w:t>
            </w:r>
          </w:p>
        </w:tc>
      </w:tr>
      <w:tr w:rsidR="005021C4" w:rsidRPr="00573891" w14:paraId="3FAB6A59" w14:textId="77777777" w:rsidTr="00A06607">
        <w:tc>
          <w:tcPr>
            <w:tcW w:w="1435" w:type="dxa"/>
          </w:tcPr>
          <w:p w14:paraId="22F59DB2"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2-4</w:t>
            </w:r>
          </w:p>
        </w:tc>
        <w:tc>
          <w:tcPr>
            <w:tcW w:w="7909" w:type="dxa"/>
          </w:tcPr>
          <w:p w14:paraId="43AF85C3" w14:textId="77777777" w:rsidR="005021C4" w:rsidRPr="00755A3B" w:rsidRDefault="005021C4" w:rsidP="00A06607">
            <w:pPr>
              <w:pStyle w:val="Compact"/>
              <w:jc w:val="both"/>
              <w:rPr>
                <w:rFonts w:ascii="Times New Roman" w:hAnsi="Times New Roman" w:cs="Times New Roman"/>
                <w:highlight w:val="yellow"/>
                <w:lang w:val="en-US"/>
              </w:rPr>
            </w:pPr>
            <w:r w:rsidRPr="00755A3B">
              <w:rPr>
                <w:rFonts w:ascii="Times New Roman" w:hAnsi="Times New Roman" w:cs="Times New Roman"/>
                <w:b/>
                <w:bCs/>
                <w:lang w:val="en-US"/>
              </w:rPr>
              <w:t xml:space="preserve">The treatment efficacy, </w:t>
            </w:r>
            <w:r w:rsidRPr="00755A3B">
              <w:rPr>
                <w:rFonts w:ascii="Times New Roman" w:hAnsi="Times New Roman" w:cs="Times New Roman"/>
                <w:lang w:val="en-US"/>
              </w:rPr>
              <w:t>based on the pollutants identified in the baseline scenario, assesses the expected effectiveness of the microalgae photobioreactor in removing those contaminants. Leverage data from existing GREEN DUNE implementations (if available) – for example, its documented ability to remove nutrients, heavy metals, and organic pollutants</w:t>
            </w:r>
            <w:hyperlink r:id="rId24" w:anchor=":~:text=Microalgae%20are%20photosynthetic%20microorganisms%20able,value%20compounds">
              <w:r w:rsidRPr="00755A3B">
                <w:rPr>
                  <w:rStyle w:val="Hyperlink"/>
                  <w:rFonts w:ascii="Times New Roman" w:hAnsi="Times New Roman" w:cs="Times New Roman"/>
                  <w:lang w:val="en-US"/>
                </w:rPr>
                <w:t>[10]</w:t>
              </w:r>
            </w:hyperlink>
            <w:hyperlink r:id="rId25" w:anchor=":~:text=GREEN%20DUNE%C2%AE%20,monitoring%20real%20chemical%20pollution%20cases">
              <w:r w:rsidRPr="00755A3B">
                <w:rPr>
                  <w:rStyle w:val="Hyperlink"/>
                  <w:rFonts w:ascii="Times New Roman" w:hAnsi="Times New Roman" w:cs="Times New Roman"/>
                  <w:lang w:val="en-US"/>
                </w:rPr>
                <w:t>[11].</w:t>
              </w:r>
            </w:hyperlink>
            <w:r w:rsidRPr="00755A3B">
              <w:rPr>
                <w:rFonts w:ascii="Times New Roman" w:hAnsi="Times New Roman" w:cs="Times New Roman"/>
                <w:lang w:val="en-US"/>
              </w:rPr>
              <w:t xml:space="preserve"> Determine if the pollutants in the water in </w:t>
            </w:r>
            <w:proofErr w:type="spellStart"/>
            <w:r w:rsidRPr="00755A3B">
              <w:rPr>
                <w:rFonts w:ascii="Times New Roman" w:hAnsi="Times New Roman" w:cs="Times New Roman"/>
                <w:lang w:val="en-US"/>
              </w:rPr>
              <w:t>Isnovăț</w:t>
            </w:r>
            <w:proofErr w:type="spellEnd"/>
            <w:r w:rsidRPr="00755A3B">
              <w:rPr>
                <w:rFonts w:ascii="Times New Roman" w:hAnsi="Times New Roman" w:cs="Times New Roman"/>
                <w:lang w:val="en-US"/>
              </w:rPr>
              <w:t xml:space="preserve"> are outside the typical treatment range of the system and if pre-treatment would be required (the technology normally receives water after secondary treatment</w:t>
            </w:r>
            <w:hyperlink r:id="rId26" w:anchor=":~:text=The%20water%20entering%20the%20Microalgae,part%20will%20return%20to%20the">
              <w:r w:rsidRPr="00755A3B">
                <w:rPr>
                  <w:rStyle w:val="Hyperlink"/>
                  <w:rFonts w:ascii="Times New Roman" w:hAnsi="Times New Roman" w:cs="Times New Roman"/>
                  <w:lang w:val="en-US"/>
                </w:rPr>
                <w:t>[12]</w:t>
              </w:r>
            </w:hyperlink>
            <w:r w:rsidRPr="00755A3B">
              <w:rPr>
                <w:rFonts w:ascii="Times New Roman" w:hAnsi="Times New Roman" w:cs="Times New Roman"/>
                <w:lang w:val="en-US"/>
              </w:rPr>
              <w:t>, so if the raw water polluted by the river is to be treated, consider adding a pre-filter for debris, etc.).</w:t>
            </w:r>
          </w:p>
        </w:tc>
      </w:tr>
      <w:tr w:rsidR="005021C4" w:rsidRPr="00573891" w14:paraId="7058000B" w14:textId="77777777" w:rsidTr="00A06607">
        <w:tc>
          <w:tcPr>
            <w:tcW w:w="1435" w:type="dxa"/>
          </w:tcPr>
          <w:p w14:paraId="2E1BB060"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2-4</w:t>
            </w:r>
          </w:p>
        </w:tc>
        <w:tc>
          <w:tcPr>
            <w:tcW w:w="7909" w:type="dxa"/>
          </w:tcPr>
          <w:p w14:paraId="774A16C2" w14:textId="77777777" w:rsidR="005021C4" w:rsidRPr="00755A3B" w:rsidRDefault="005021C4" w:rsidP="00A06607">
            <w:pPr>
              <w:pStyle w:val="Compact"/>
              <w:jc w:val="both"/>
              <w:rPr>
                <w:rFonts w:ascii="Times New Roman" w:hAnsi="Times New Roman" w:cs="Times New Roman"/>
                <w:highlight w:val="yellow"/>
                <w:lang w:val="en-US"/>
              </w:rPr>
            </w:pPr>
            <w:r w:rsidRPr="00755A3B">
              <w:rPr>
                <w:rFonts w:ascii="Times New Roman" w:hAnsi="Times New Roman" w:cs="Times New Roman"/>
                <w:b/>
                <w:bCs/>
                <w:lang w:val="en-US"/>
              </w:rPr>
              <w:t>Site Requirements and Selection:</w:t>
            </w:r>
            <w:r w:rsidRPr="00755A3B">
              <w:rPr>
                <w:rFonts w:ascii="Times New Roman" w:hAnsi="Times New Roman" w:cs="Times New Roman"/>
                <w:lang w:val="en-US"/>
              </w:rPr>
              <w:t xml:space="preserve"> Identify one or more potential sites where a pilot or full-scale photobioreactor could be installed. Sites could include existing wastewater facilities (</w:t>
            </w:r>
            <w:proofErr w:type="gramStart"/>
            <w:r w:rsidRPr="00755A3B">
              <w:rPr>
                <w:rFonts w:ascii="Times New Roman" w:hAnsi="Times New Roman" w:cs="Times New Roman"/>
                <w:lang w:val="en-US"/>
              </w:rPr>
              <w:t>e.g.</w:t>
            </w:r>
            <w:proofErr w:type="gramEnd"/>
            <w:r w:rsidRPr="00755A3B">
              <w:rPr>
                <w:rFonts w:ascii="Times New Roman" w:hAnsi="Times New Roman" w:cs="Times New Roman"/>
                <w:lang w:val="en-US"/>
              </w:rPr>
              <w:t xml:space="preserve"> an outlet of a local wastewater treatment plant to polish effluents) or strategic locations along the river (e.g. at a small dam or where water can be diverted via photobioreactor). Evaluate each candidate site for practical suitability: space availability (the prismatic design of GREEN DUNE allows for a small footprint</w:t>
            </w:r>
            <w:hyperlink r:id="rId27" w:anchor=":~:text=The%20technology%20is%20innovative%2C%20highlighting,and%20sustainable%20exploitation%20of%20resources">
              <w:r w:rsidRPr="00755A3B">
                <w:rPr>
                  <w:rStyle w:val="Hyperlink"/>
                  <w:rFonts w:ascii="Times New Roman" w:hAnsi="Times New Roman" w:cs="Times New Roman"/>
                  <w:lang w:val="en-US"/>
                </w:rPr>
                <w:t>[3]</w:t>
              </w:r>
            </w:hyperlink>
            <w:r w:rsidRPr="00755A3B">
              <w:rPr>
                <w:rFonts w:ascii="Times New Roman" w:hAnsi="Times New Roman" w:cs="Times New Roman"/>
                <w:lang w:val="en-US"/>
              </w:rPr>
              <w:t>), access to sunlight (for algae growth), proximity to the source of pollution (for maximum effect) and access for maintenance. Include sketches or GIS maps of site layouts as needed.</w:t>
            </w:r>
          </w:p>
        </w:tc>
      </w:tr>
      <w:tr w:rsidR="005021C4" w:rsidRPr="00573891" w14:paraId="4E733BD2" w14:textId="77777777" w:rsidTr="00A06607">
        <w:tc>
          <w:tcPr>
            <w:tcW w:w="1435" w:type="dxa"/>
          </w:tcPr>
          <w:p w14:paraId="7B0691AA" w14:textId="46AC215A"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2-</w:t>
            </w:r>
            <w:r w:rsidR="00573891">
              <w:rPr>
                <w:rFonts w:cs="Times New Roman"/>
                <w:b/>
                <w:bCs/>
                <w:sz w:val="24"/>
                <w:szCs w:val="24"/>
                <w:lang w:val="en-US"/>
              </w:rPr>
              <w:t>5</w:t>
            </w:r>
          </w:p>
        </w:tc>
        <w:tc>
          <w:tcPr>
            <w:tcW w:w="7909" w:type="dxa"/>
          </w:tcPr>
          <w:p w14:paraId="460F27B6"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 xml:space="preserve">Operational considerations: </w:t>
            </w:r>
            <w:r w:rsidRPr="00755A3B">
              <w:rPr>
                <w:rFonts w:ascii="Times New Roman" w:hAnsi="Times New Roman" w:cs="Times New Roman"/>
                <w:lang w:val="en-US"/>
              </w:rPr>
              <w:t>Examine how the unit would operate under local conditions. Consider climatic factors – for example, seasonal temperature variations in Moldova that can affect algae growth rates; the need for greenhouse enclosures or temperature control in cold months; how the system will manage flow variability (during floods or droughts). Present the required inputs (e.g., carbon dioxide supply for algae if needed, nutrient dosage, etc.) and any consumables or waste (algae biomass and used filter membranes).</w:t>
            </w:r>
          </w:p>
        </w:tc>
      </w:tr>
      <w:tr w:rsidR="005021C4" w:rsidRPr="00573891" w14:paraId="1AB4D16E" w14:textId="77777777" w:rsidTr="00A06607">
        <w:tc>
          <w:tcPr>
            <w:tcW w:w="1435" w:type="dxa"/>
          </w:tcPr>
          <w:p w14:paraId="35CAC4CD" w14:textId="5488612C"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2-</w:t>
            </w:r>
            <w:r w:rsidR="00573891">
              <w:rPr>
                <w:rFonts w:cs="Times New Roman"/>
                <w:b/>
                <w:bCs/>
                <w:sz w:val="24"/>
                <w:szCs w:val="24"/>
                <w:lang w:val="en-US"/>
              </w:rPr>
              <w:t>5</w:t>
            </w:r>
          </w:p>
        </w:tc>
        <w:tc>
          <w:tcPr>
            <w:tcW w:w="7909" w:type="dxa"/>
          </w:tcPr>
          <w:p w14:paraId="3EECBA53"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Integration and synergy:</w:t>
            </w:r>
            <w:r w:rsidRPr="00755A3B">
              <w:rPr>
                <w:rFonts w:ascii="Times New Roman" w:hAnsi="Times New Roman" w:cs="Times New Roman"/>
                <w:lang w:val="en-US"/>
              </w:rPr>
              <w:t xml:space="preserve"> Explore how the GREEN DUNE system could integrate with current water management. For example, if it is installed at a municipal wastewater treatment plant, how will it connect to the treatment train (receiving secondary treated water and returning polished effluent)? Or if it is used in the river, how to divert and return the flows? Investigate whether the microsensor monitoring developed in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could be used in parallel for real-time tracking of pollution reduction</w:t>
            </w:r>
            <w:hyperlink r:id="rId28" w:anchor=":~:text=Designed%20and%20supplied%20by%20SENSICHIPS,are%20all%20relevant%20for%20the">
              <w:r w:rsidRPr="00755A3B">
                <w:rPr>
                  <w:rStyle w:val="Hyperlink"/>
                  <w:rFonts w:ascii="Times New Roman" w:hAnsi="Times New Roman" w:cs="Times New Roman"/>
                  <w:lang w:val="en-US"/>
                </w:rPr>
                <w:t>[13].</w:t>
              </w:r>
            </w:hyperlink>
            <w:r w:rsidRPr="00755A3B">
              <w:rPr>
                <w:rFonts w:ascii="Times New Roman" w:hAnsi="Times New Roman" w:cs="Times New Roman"/>
                <w:lang w:val="en-US"/>
              </w:rPr>
              <w:t xml:space="preserve"> Also consider the fate of the algae biomass produced – options for </w:t>
            </w:r>
            <w:r w:rsidRPr="00755A3B">
              <w:rPr>
                <w:rFonts w:ascii="Times New Roman" w:hAnsi="Times New Roman" w:cs="Times New Roman"/>
                <w:b/>
                <w:bCs/>
                <w:lang w:val="en-US"/>
              </w:rPr>
              <w:t>reusing biomass</w:t>
            </w:r>
            <w:r w:rsidRPr="00755A3B">
              <w:rPr>
                <w:rFonts w:ascii="Times New Roman" w:hAnsi="Times New Roman" w:cs="Times New Roman"/>
                <w:lang w:val="en-US"/>
              </w:rPr>
              <w:t xml:space="preserve"> (such as conversion to biofertilizer or biogas) should be presented to enhance the circular economy benefits of the solution</w:t>
            </w:r>
            <w:hyperlink r:id="rId29" w:anchor=":~:text=small%20area%20and%20high%20volume%3B,and%20sustainable%20exploitation%20of%20resources">
              <w:r w:rsidRPr="00755A3B">
                <w:rPr>
                  <w:rStyle w:val="Hyperlink"/>
                  <w:rFonts w:ascii="Times New Roman" w:hAnsi="Times New Roman" w:cs="Times New Roman"/>
                  <w:lang w:val="en-US"/>
                </w:rPr>
                <w:t>[14].</w:t>
              </w:r>
            </w:hyperlink>
          </w:p>
        </w:tc>
      </w:tr>
      <w:tr w:rsidR="005021C4" w:rsidRPr="00573891" w14:paraId="10E5CAF9" w14:textId="77777777" w:rsidTr="00A06607">
        <w:tc>
          <w:tcPr>
            <w:tcW w:w="1435" w:type="dxa"/>
          </w:tcPr>
          <w:p w14:paraId="25D3232F" w14:textId="73947FA9"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4</w:t>
            </w:r>
            <w:r w:rsidR="00573891">
              <w:rPr>
                <w:rFonts w:cs="Times New Roman"/>
                <w:b/>
                <w:bCs/>
                <w:sz w:val="24"/>
                <w:szCs w:val="24"/>
                <w:lang w:val="en-US"/>
              </w:rPr>
              <w:t>-5</w:t>
            </w:r>
          </w:p>
        </w:tc>
        <w:tc>
          <w:tcPr>
            <w:tcW w:w="7909" w:type="dxa"/>
          </w:tcPr>
          <w:p w14:paraId="2FF97AB9" w14:textId="77777777" w:rsidR="005021C4" w:rsidRPr="00755A3B" w:rsidRDefault="005021C4" w:rsidP="00A06607">
            <w:pPr>
              <w:spacing w:after="200"/>
              <w:jc w:val="both"/>
              <w:rPr>
                <w:rFonts w:cs="Times New Roman"/>
                <w:sz w:val="24"/>
                <w:szCs w:val="24"/>
                <w:lang w:val="en-US"/>
              </w:rPr>
            </w:pPr>
            <w:r w:rsidRPr="00755A3B">
              <w:rPr>
                <w:rFonts w:cs="Times New Roman"/>
                <w:b/>
                <w:bCs/>
                <w:sz w:val="24"/>
                <w:szCs w:val="24"/>
                <w:lang w:val="en-US"/>
              </w:rPr>
              <w:t>Alternative scenarios:</w:t>
            </w:r>
            <w:r w:rsidRPr="00755A3B">
              <w:rPr>
                <w:rFonts w:cs="Times New Roman"/>
                <w:sz w:val="24"/>
                <w:szCs w:val="24"/>
                <w:lang w:val="en-US"/>
              </w:rPr>
              <w:t xml:space="preserve"> As part of the feasibility, formulate at least two deployment scenarios (</w:t>
            </w:r>
            <w:r w:rsidRPr="00755A3B">
              <w:rPr>
                <w:rFonts w:cs="Times New Roman"/>
                <w:i/>
                <w:iCs/>
                <w:sz w:val="24"/>
                <w:szCs w:val="24"/>
                <w:lang w:val="en-US"/>
              </w:rPr>
              <w:t>Scenario A</w:t>
            </w:r>
            <w:r w:rsidRPr="00755A3B">
              <w:rPr>
                <w:rFonts w:cs="Times New Roman"/>
                <w:sz w:val="24"/>
                <w:szCs w:val="24"/>
                <w:lang w:val="en-US"/>
              </w:rPr>
              <w:t xml:space="preserve"> – a pilot photobioreactor at a specific </w:t>
            </w:r>
            <w:r w:rsidRPr="00755A3B">
              <w:rPr>
                <w:rFonts w:cs="Times New Roman"/>
                <w:sz w:val="24"/>
                <w:szCs w:val="24"/>
                <w:lang w:val="en-US"/>
              </w:rPr>
              <w:lastRenderedPageBreak/>
              <w:t xml:space="preserve">wastewater treatment plant that treats known effluents; </w:t>
            </w:r>
            <w:r w:rsidRPr="00755A3B">
              <w:rPr>
                <w:rFonts w:cs="Times New Roman"/>
                <w:i/>
                <w:iCs/>
                <w:sz w:val="24"/>
                <w:szCs w:val="24"/>
                <w:lang w:val="en-US"/>
              </w:rPr>
              <w:t>Scenario B</w:t>
            </w:r>
            <w:r w:rsidRPr="00755A3B">
              <w:rPr>
                <w:rFonts w:cs="Times New Roman"/>
                <w:sz w:val="24"/>
                <w:szCs w:val="24"/>
                <w:lang w:val="en-US"/>
              </w:rPr>
              <w:t xml:space="preserve"> – a series of smaller modules that treat agricultural runoff in a built-up wetland context). Compare these scenarios in terms of expected pollution reduction, cost, complexity, and stakeholder preferences. This will help determine the most appropriate approach for the sub-basin.</w:t>
            </w:r>
          </w:p>
        </w:tc>
      </w:tr>
      <w:tr w:rsidR="005021C4" w:rsidRPr="00573891" w14:paraId="22C30E46" w14:textId="77777777" w:rsidTr="00A06607">
        <w:tc>
          <w:tcPr>
            <w:tcW w:w="1435" w:type="dxa"/>
          </w:tcPr>
          <w:p w14:paraId="5AA87C09"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lastRenderedPageBreak/>
              <w:t>Month 1-4</w:t>
            </w:r>
          </w:p>
        </w:tc>
        <w:tc>
          <w:tcPr>
            <w:tcW w:w="7909" w:type="dxa"/>
          </w:tcPr>
          <w:p w14:paraId="0CAB4D59" w14:textId="77777777" w:rsidR="005021C4" w:rsidRPr="00755A3B" w:rsidRDefault="005021C4" w:rsidP="00A06607">
            <w:pPr>
              <w:spacing w:after="200"/>
              <w:jc w:val="both"/>
              <w:rPr>
                <w:rFonts w:cs="Times New Roman"/>
                <w:sz w:val="24"/>
                <w:szCs w:val="24"/>
                <w:lang w:val="en-US"/>
              </w:rPr>
            </w:pPr>
            <w:r w:rsidRPr="00755A3B">
              <w:rPr>
                <w:rFonts w:cs="Times New Roman"/>
                <w:b/>
                <w:bCs/>
                <w:sz w:val="24"/>
                <w:szCs w:val="24"/>
                <w:lang w:val="en-US"/>
              </w:rPr>
              <w:t>Environmental risk and impact analysis:</w:t>
            </w:r>
            <w:r w:rsidRPr="00755A3B">
              <w:rPr>
                <w:rFonts w:cs="Times New Roman"/>
                <w:sz w:val="24"/>
                <w:szCs w:val="24"/>
                <w:lang w:val="en-US"/>
              </w:rPr>
              <w:t xml:space="preserve"> Identify and assess the environmental risks and impacts associated with both the current situation and the proposed remedial solution</w:t>
            </w:r>
          </w:p>
        </w:tc>
      </w:tr>
      <w:tr w:rsidR="005021C4" w:rsidRPr="00573891" w14:paraId="5B66F0AA" w14:textId="77777777" w:rsidTr="00A06607">
        <w:tc>
          <w:tcPr>
            <w:tcW w:w="1435" w:type="dxa"/>
          </w:tcPr>
          <w:p w14:paraId="30075D16" w14:textId="0F04A8E8"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1-</w:t>
            </w:r>
            <w:r w:rsidR="00573891">
              <w:rPr>
                <w:rFonts w:cs="Times New Roman"/>
                <w:b/>
                <w:bCs/>
                <w:sz w:val="24"/>
                <w:szCs w:val="24"/>
                <w:lang w:val="en-US"/>
              </w:rPr>
              <w:t>5</w:t>
            </w:r>
            <w:r w:rsidR="00573891" w:rsidRPr="00755A3B">
              <w:rPr>
                <w:rFonts w:cs="Times New Roman"/>
                <w:b/>
                <w:bCs/>
                <w:sz w:val="24"/>
                <w:szCs w:val="24"/>
                <w:lang w:val="en-US"/>
              </w:rPr>
              <w:t xml:space="preserve"> </w:t>
            </w:r>
          </w:p>
        </w:tc>
        <w:tc>
          <w:tcPr>
            <w:tcW w:w="7909" w:type="dxa"/>
          </w:tcPr>
          <w:p w14:paraId="258ADDAD" w14:textId="40D0908B"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Current risks:</w:t>
            </w:r>
            <w:r w:rsidRPr="00755A3B">
              <w:rPr>
                <w:rFonts w:ascii="Times New Roman" w:hAnsi="Times New Roman" w:cs="Times New Roman"/>
                <w:lang w:val="en-US"/>
              </w:rPr>
              <w:t xml:space="preserve"> </w:t>
            </w:r>
            <w:r w:rsidR="00573891" w:rsidRPr="00755A3B">
              <w:rPr>
                <w:rFonts w:ascii="Times New Roman" w:hAnsi="Times New Roman" w:cs="Times New Roman"/>
                <w:lang w:val="en-US"/>
              </w:rPr>
              <w:t>Summarize</w:t>
            </w:r>
            <w:r w:rsidRPr="00755A3B">
              <w:rPr>
                <w:rFonts w:ascii="Times New Roman" w:hAnsi="Times New Roman" w:cs="Times New Roman"/>
                <w:lang w:val="en-US"/>
              </w:rPr>
              <w:t xml:space="preserve"> the environmental risks of the 'no action' scenario – like continued deterioration of water quality, loss of aquatic biodiversity, or risks to the health of communities (if using water) due to the accumulation of pollutants. This provides context for the urgency and benefits of the intervention.</w:t>
            </w:r>
          </w:p>
        </w:tc>
      </w:tr>
      <w:tr w:rsidR="005021C4" w:rsidRPr="00573891" w14:paraId="7C185617" w14:textId="77777777" w:rsidTr="00A06607">
        <w:tc>
          <w:tcPr>
            <w:tcW w:w="1435" w:type="dxa"/>
          </w:tcPr>
          <w:p w14:paraId="172B9A27" w14:textId="1C45EA2F"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1-</w:t>
            </w:r>
            <w:r w:rsidR="00573891">
              <w:rPr>
                <w:rFonts w:cs="Times New Roman"/>
                <w:b/>
                <w:bCs/>
                <w:sz w:val="24"/>
                <w:szCs w:val="24"/>
                <w:lang w:val="en-US"/>
              </w:rPr>
              <w:t>5</w:t>
            </w:r>
            <w:r w:rsidR="00573891" w:rsidRPr="00755A3B">
              <w:rPr>
                <w:rFonts w:cs="Times New Roman"/>
                <w:b/>
                <w:bCs/>
                <w:sz w:val="24"/>
                <w:szCs w:val="24"/>
                <w:lang w:val="en-US"/>
              </w:rPr>
              <w:t xml:space="preserve"> </w:t>
            </w:r>
          </w:p>
        </w:tc>
        <w:tc>
          <w:tcPr>
            <w:tcW w:w="7909" w:type="dxa"/>
          </w:tcPr>
          <w:p w14:paraId="7EC58F53" w14:textId="77777777" w:rsidR="005021C4" w:rsidRPr="00755A3B" w:rsidRDefault="005021C4" w:rsidP="00A06607">
            <w:pPr>
              <w:pStyle w:val="Compact"/>
              <w:jc w:val="both"/>
              <w:rPr>
                <w:rFonts w:ascii="Times New Roman" w:hAnsi="Times New Roman" w:cs="Times New Roman"/>
                <w:b/>
                <w:bCs/>
                <w:lang w:val="en-US"/>
              </w:rPr>
            </w:pPr>
            <w:r w:rsidRPr="00755A3B">
              <w:rPr>
                <w:rFonts w:ascii="Times New Roman" w:hAnsi="Times New Roman" w:cs="Times New Roman"/>
                <w:b/>
                <w:bCs/>
                <w:lang w:val="en-US"/>
              </w:rPr>
              <w:t xml:space="preserve">Impact of implementing GREEN DUNE: </w:t>
            </w:r>
            <w:r w:rsidRPr="00755A3B">
              <w:rPr>
                <w:rFonts w:ascii="Times New Roman" w:hAnsi="Times New Roman" w:cs="Times New Roman"/>
                <w:lang w:val="en-US"/>
              </w:rPr>
              <w:t>Analyze any potential negative impact that the installation or operation of the GREEN DUNE® unit could have on the local environment. Consider the risk of minor changes in water flow or temperature due to water diversion through the photobioreactor, or the risk of handling concentrated algae biomass (ensuring that it does not cause secondary pollution). These risks are expected to be low, given the nature of the technology (it is a closed-loop biological system with a small footprint and no harmful by-products</w:t>
            </w:r>
            <w:hyperlink r:id="rId30" w:anchor=":~:text=The%20technology%20is%20innovative%2C%20highlighting,and%20sustainable%20exploitation%20of%20resources">
              <w:r w:rsidRPr="00755A3B">
                <w:rPr>
                  <w:rStyle w:val="Hyperlink"/>
                  <w:rFonts w:ascii="Times New Roman" w:hAnsi="Times New Roman" w:cs="Times New Roman"/>
                  <w:color w:val="auto"/>
                  <w:lang w:val="en-US"/>
                </w:rPr>
                <w:t>[3]</w:t>
              </w:r>
            </w:hyperlink>
            <w:r w:rsidRPr="00755A3B">
              <w:rPr>
                <w:rFonts w:ascii="Times New Roman" w:hAnsi="Times New Roman" w:cs="Times New Roman"/>
                <w:lang w:val="en-US"/>
              </w:rPr>
              <w:t>), but the study should address them. If the algae species are not invasive for the Republic of Moldova, aggressive to the local ones</w:t>
            </w:r>
          </w:p>
        </w:tc>
      </w:tr>
      <w:tr w:rsidR="005021C4" w:rsidRPr="00573891" w14:paraId="0D138425" w14:textId="77777777" w:rsidTr="00A06607">
        <w:tc>
          <w:tcPr>
            <w:tcW w:w="1435" w:type="dxa"/>
          </w:tcPr>
          <w:p w14:paraId="4CABA2C5" w14:textId="77777777"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3-4</w:t>
            </w:r>
          </w:p>
        </w:tc>
        <w:tc>
          <w:tcPr>
            <w:tcW w:w="7909" w:type="dxa"/>
          </w:tcPr>
          <w:p w14:paraId="6F90477D"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b/>
                <w:bCs/>
                <w:lang w:val="en-US"/>
              </w:rPr>
              <w:t>Mitigating measures:</w:t>
            </w:r>
            <w:r w:rsidRPr="00755A3B">
              <w:rPr>
                <w:rFonts w:ascii="Times New Roman" w:hAnsi="Times New Roman" w:cs="Times New Roman"/>
                <w:lang w:val="en-US"/>
              </w:rPr>
              <w:t xml:space="preserve"> Propose mitigation measures for any identified risks. For a concern about any parameters of the treated water (such as slightly increased oxygen or pH due to algae activity), ensure proper mixing before discharge. If ancillary infrastructure (such as a small greenhouse or shade) is required to prevent ecological disturbance, keep this in mind. Essentially, you're demonstrating that the solution won't negatively affect the river's biota – rather, it should improve habitat quality by reducing pollutants.</w:t>
            </w:r>
          </w:p>
        </w:tc>
      </w:tr>
      <w:tr w:rsidR="005021C4" w:rsidRPr="00573891" w14:paraId="17D701C2" w14:textId="77777777" w:rsidTr="00A06607">
        <w:tc>
          <w:tcPr>
            <w:tcW w:w="1435" w:type="dxa"/>
          </w:tcPr>
          <w:p w14:paraId="40C12B20" w14:textId="31902961"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4</w:t>
            </w:r>
            <w:r w:rsidR="00573891">
              <w:rPr>
                <w:rFonts w:cs="Times New Roman"/>
                <w:b/>
                <w:bCs/>
                <w:sz w:val="24"/>
                <w:szCs w:val="24"/>
                <w:lang w:val="en-US"/>
              </w:rPr>
              <w:t>-5</w:t>
            </w:r>
          </w:p>
        </w:tc>
        <w:tc>
          <w:tcPr>
            <w:tcW w:w="7909" w:type="dxa"/>
          </w:tcPr>
          <w:p w14:paraId="4DA0407E" w14:textId="77777777" w:rsidR="005021C4" w:rsidRPr="00755A3B" w:rsidRDefault="005021C4" w:rsidP="00A06607">
            <w:pPr>
              <w:pStyle w:val="Compact"/>
              <w:jc w:val="both"/>
              <w:rPr>
                <w:rFonts w:ascii="Times New Roman" w:hAnsi="Times New Roman" w:cs="Times New Roman"/>
                <w:b/>
                <w:bCs/>
                <w:highlight w:val="green"/>
                <w:lang w:val="en-US"/>
              </w:rPr>
            </w:pPr>
            <w:r w:rsidRPr="00755A3B">
              <w:rPr>
                <w:rFonts w:ascii="Times New Roman" w:hAnsi="Times New Roman" w:cs="Times New Roman"/>
                <w:b/>
                <w:bCs/>
                <w:lang w:val="en-US"/>
              </w:rPr>
              <w:t>Long-term monitoring plan:</w:t>
            </w:r>
            <w:r w:rsidRPr="00755A3B">
              <w:rPr>
                <w:rFonts w:ascii="Times New Roman" w:hAnsi="Times New Roman" w:cs="Times New Roman"/>
                <w:lang w:val="en-US"/>
              </w:rPr>
              <w:t xml:space="preserve"> Recommend an outline for monitoring environmental effects if the technology is implemented. Key indicators could include improving water quality (nutrient levels, clarity), restoring populations of sensitive aquatic species over time, etc. This will link to the results as part of the feasibility report, ensuring that any future pilot has a clear environmental monitoring protocol.</w:t>
            </w:r>
          </w:p>
        </w:tc>
      </w:tr>
      <w:tr w:rsidR="005021C4" w:rsidRPr="00573891" w14:paraId="24BDA7FB" w14:textId="77777777" w:rsidTr="00A06607">
        <w:tc>
          <w:tcPr>
            <w:tcW w:w="1435" w:type="dxa"/>
          </w:tcPr>
          <w:p w14:paraId="2E6B3D1B" w14:textId="4C1BCF8B" w:rsidR="005021C4" w:rsidRPr="00755A3B" w:rsidRDefault="005021C4" w:rsidP="00A06607">
            <w:pPr>
              <w:pStyle w:val="ListParagraph"/>
              <w:ind w:left="0"/>
              <w:jc w:val="center"/>
              <w:rPr>
                <w:rFonts w:cs="Times New Roman"/>
                <w:b/>
                <w:bCs/>
                <w:sz w:val="24"/>
                <w:szCs w:val="24"/>
                <w:lang w:val="en-US"/>
              </w:rPr>
            </w:pPr>
            <w:r w:rsidRPr="00755A3B">
              <w:rPr>
                <w:rFonts w:cs="Times New Roman"/>
                <w:b/>
                <w:bCs/>
                <w:sz w:val="24"/>
                <w:szCs w:val="24"/>
                <w:lang w:val="en-US"/>
              </w:rPr>
              <w:t>Month 4</w:t>
            </w:r>
            <w:r w:rsidR="00573891">
              <w:rPr>
                <w:rFonts w:cs="Times New Roman"/>
                <w:b/>
                <w:bCs/>
                <w:sz w:val="24"/>
                <w:szCs w:val="24"/>
                <w:lang w:val="en-US"/>
              </w:rPr>
              <w:t>-5</w:t>
            </w:r>
          </w:p>
        </w:tc>
        <w:tc>
          <w:tcPr>
            <w:tcW w:w="7909" w:type="dxa"/>
          </w:tcPr>
          <w:p w14:paraId="6313EF2D" w14:textId="77777777" w:rsidR="005021C4" w:rsidRPr="00755A3B" w:rsidRDefault="005021C4" w:rsidP="00A06607">
            <w:pPr>
              <w:pStyle w:val="Compact"/>
              <w:tabs>
                <w:tab w:val="left" w:pos="1155"/>
              </w:tabs>
              <w:jc w:val="both"/>
              <w:rPr>
                <w:rFonts w:ascii="Times New Roman" w:hAnsi="Times New Roman" w:cs="Times New Roman"/>
                <w:lang w:val="en-US"/>
              </w:rPr>
            </w:pPr>
            <w:r w:rsidRPr="00755A3B">
              <w:rPr>
                <w:rFonts w:ascii="Times New Roman" w:hAnsi="Times New Roman" w:cs="Times New Roman"/>
                <w:b/>
                <w:bCs/>
                <w:lang w:val="en-US"/>
              </w:rPr>
              <w:t xml:space="preserve">Applicability mapping and feasibility mapping: </w:t>
            </w:r>
            <w:r w:rsidRPr="00755A3B">
              <w:rPr>
                <w:rFonts w:ascii="Times New Roman" w:hAnsi="Times New Roman" w:cs="Times New Roman"/>
                <w:lang w:val="en-US"/>
              </w:rPr>
              <w:t>Based on all of the above analyses, prepare a subbasin</w:t>
            </w:r>
            <w:r w:rsidRPr="00755A3B">
              <w:rPr>
                <w:rFonts w:ascii="Times New Roman" w:hAnsi="Times New Roman" w:cs="Times New Roman"/>
                <w:b/>
                <w:bCs/>
                <w:lang w:val="en-US"/>
              </w:rPr>
              <w:t xml:space="preserve"> </w:t>
            </w:r>
            <w:r w:rsidRPr="00755A3B">
              <w:rPr>
                <w:rFonts w:ascii="Times New Roman" w:hAnsi="Times New Roman" w:cs="Times New Roman"/>
                <w:lang w:val="en-US"/>
              </w:rPr>
              <w:t>applicability map indicating where GREEN DUNE® technology (or other nature-based remedial measures) would be most applicable and effective. This mapping exercise should visually highlight</w:t>
            </w:r>
          </w:p>
          <w:p w14:paraId="0ECB7E4C" w14:textId="77777777" w:rsidR="005021C4" w:rsidRPr="00755A3B" w:rsidRDefault="005021C4" w:rsidP="00A06607">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lastRenderedPageBreak/>
              <w:t>Pollution 'hot spots' and critical areas in need of intervention (</w:t>
            </w:r>
            <w:proofErr w:type="gramStart"/>
            <w:r w:rsidRPr="00755A3B">
              <w:rPr>
                <w:rFonts w:ascii="Times New Roman" w:hAnsi="Times New Roman" w:cs="Times New Roman"/>
                <w:lang w:val="en-US"/>
              </w:rPr>
              <w:t>e.g.</w:t>
            </w:r>
            <w:proofErr w:type="gramEnd"/>
            <w:r w:rsidRPr="00755A3B">
              <w:rPr>
                <w:rFonts w:ascii="Times New Roman" w:hAnsi="Times New Roman" w:cs="Times New Roman"/>
                <w:lang w:val="en-US"/>
              </w:rPr>
              <w:t xml:space="preserve"> portions of the river that do not meet quality standards).</w:t>
            </w:r>
          </w:p>
          <w:p w14:paraId="2FB8E122" w14:textId="77777777" w:rsidR="005021C4" w:rsidRPr="00755A3B" w:rsidRDefault="005021C4" w:rsidP="00A06607">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t>Possible locations for the installation of photobioreactor units or other interventions, with justifications (</w:t>
            </w:r>
            <w:proofErr w:type="gramStart"/>
            <w:r w:rsidRPr="00755A3B">
              <w:rPr>
                <w:rFonts w:ascii="Times New Roman" w:hAnsi="Times New Roman" w:cs="Times New Roman"/>
                <w:lang w:val="en-US"/>
              </w:rPr>
              <w:t>e.g.</w:t>
            </w:r>
            <w:proofErr w:type="gramEnd"/>
            <w:r w:rsidRPr="00755A3B">
              <w:rPr>
                <w:rFonts w:ascii="Times New Roman" w:hAnsi="Times New Roman" w:cs="Times New Roman"/>
                <w:lang w:val="en-US"/>
              </w:rPr>
              <w:t xml:space="preserve"> near a confluence where it can capture multiple sources of pollution upstream or adjacent to a major polluter for on-site treatment).</w:t>
            </w:r>
          </w:p>
          <w:p w14:paraId="62A19FAE" w14:textId="77777777" w:rsidR="005021C4" w:rsidRPr="00755A3B" w:rsidRDefault="005021C4" w:rsidP="00A06607">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t>Ownership or use of land in those locations, to signal if additional measures are needed (for example, if it is on public land or private property).</w:t>
            </w:r>
          </w:p>
          <w:p w14:paraId="6D77B73E" w14:textId="77777777" w:rsidR="005021C4" w:rsidRPr="00755A3B" w:rsidRDefault="005021C4" w:rsidP="00A06607">
            <w:pPr>
              <w:pStyle w:val="Compact"/>
              <w:numPr>
                <w:ilvl w:val="0"/>
                <w:numId w:val="6"/>
              </w:numPr>
              <w:jc w:val="both"/>
              <w:rPr>
                <w:rFonts w:ascii="Times New Roman" w:hAnsi="Times New Roman" w:cs="Times New Roman"/>
                <w:lang w:val="en-US"/>
              </w:rPr>
            </w:pPr>
            <w:r w:rsidRPr="00755A3B">
              <w:rPr>
                <w:rFonts w:ascii="Times New Roman" w:hAnsi="Times New Roman" w:cs="Times New Roman"/>
                <w:lang w:val="en-US"/>
              </w:rPr>
              <w:t>It overlaps with the interests of the community (it shows nearby villages or water inputs that would benefit from improved water quality).</w:t>
            </w:r>
          </w:p>
        </w:tc>
      </w:tr>
    </w:tbl>
    <w:p w14:paraId="1AE215BD" w14:textId="3E433DDA" w:rsidR="002E6A54" w:rsidRDefault="002E6A54" w:rsidP="005021C4">
      <w:pPr>
        <w:spacing w:after="0" w:line="360" w:lineRule="auto"/>
        <w:rPr>
          <w:rFonts w:cs="Times New Roman"/>
          <w:b/>
          <w:bCs/>
          <w:sz w:val="24"/>
          <w:szCs w:val="24"/>
          <w:lang w:val="en-US"/>
        </w:rPr>
      </w:pPr>
    </w:p>
    <w:p w14:paraId="34A8BCDF" w14:textId="77777777" w:rsidR="002E6A54" w:rsidRDefault="002E6A54">
      <w:pPr>
        <w:spacing w:line="259" w:lineRule="auto"/>
        <w:rPr>
          <w:rFonts w:cs="Times New Roman"/>
          <w:b/>
          <w:bCs/>
          <w:sz w:val="24"/>
          <w:szCs w:val="24"/>
          <w:lang w:val="en-US"/>
        </w:rPr>
      </w:pPr>
      <w:r>
        <w:rPr>
          <w:rFonts w:cs="Times New Roman"/>
          <w:b/>
          <w:bCs/>
          <w:sz w:val="24"/>
          <w:szCs w:val="24"/>
          <w:lang w:val="en-US"/>
        </w:rPr>
        <w:br w:type="page"/>
      </w:r>
    </w:p>
    <w:p w14:paraId="3D3B348A" w14:textId="77777777" w:rsidR="005021C4" w:rsidRPr="00755A3B" w:rsidRDefault="005021C4" w:rsidP="005021C4">
      <w:pPr>
        <w:pStyle w:val="Heading2"/>
        <w:numPr>
          <w:ilvl w:val="0"/>
          <w:numId w:val="10"/>
        </w:numPr>
        <w:rPr>
          <w:rFonts w:cs="Times New Roman"/>
          <w:szCs w:val="24"/>
          <w:lang w:val="en-US"/>
        </w:rPr>
      </w:pPr>
      <w:r w:rsidRPr="00755A3B">
        <w:rPr>
          <w:rFonts w:cs="Times New Roman"/>
          <w:szCs w:val="24"/>
          <w:lang w:val="en-US"/>
        </w:rPr>
        <w:lastRenderedPageBreak/>
        <w:t xml:space="preserve">Stakeholders </w:t>
      </w:r>
    </w:p>
    <w:p w14:paraId="235B66F4" w14:textId="77777777" w:rsidR="005021C4" w:rsidRPr="00755A3B" w:rsidRDefault="005021C4" w:rsidP="005021C4">
      <w:pPr>
        <w:rPr>
          <w:rFonts w:cs="Times New Roman"/>
          <w:sz w:val="24"/>
          <w:szCs w:val="24"/>
          <w:lang w:val="en-US"/>
        </w:rPr>
      </w:pPr>
    </w:p>
    <w:tbl>
      <w:tblPr>
        <w:tblStyle w:val="TableGrid"/>
        <w:tblW w:w="0" w:type="auto"/>
        <w:tblLook w:val="04A0" w:firstRow="1" w:lastRow="0" w:firstColumn="1" w:lastColumn="0" w:noHBand="0" w:noVBand="1"/>
      </w:tblPr>
      <w:tblGrid>
        <w:gridCol w:w="2155"/>
        <w:gridCol w:w="2340"/>
        <w:gridCol w:w="4849"/>
      </w:tblGrid>
      <w:tr w:rsidR="005021C4" w:rsidRPr="00755A3B" w14:paraId="5DF04642" w14:textId="77777777" w:rsidTr="00A06607">
        <w:tc>
          <w:tcPr>
            <w:tcW w:w="2155" w:type="dxa"/>
            <w:shd w:val="clear" w:color="auto" w:fill="DEEAF6" w:themeFill="accent1" w:themeFillTint="33"/>
          </w:tcPr>
          <w:p w14:paraId="048969CC" w14:textId="77777777" w:rsidR="005021C4" w:rsidRPr="00755A3B" w:rsidRDefault="005021C4" w:rsidP="00A06607">
            <w:pPr>
              <w:jc w:val="center"/>
              <w:rPr>
                <w:rFonts w:cs="Times New Roman"/>
                <w:i/>
                <w:iCs/>
                <w:sz w:val="24"/>
                <w:szCs w:val="24"/>
                <w:lang w:val="en-US"/>
              </w:rPr>
            </w:pPr>
            <w:r w:rsidRPr="00755A3B">
              <w:rPr>
                <w:rFonts w:cs="Times New Roman"/>
                <w:i/>
                <w:iCs/>
                <w:sz w:val="24"/>
                <w:szCs w:val="24"/>
                <w:lang w:val="en-US"/>
              </w:rPr>
              <w:t>Stakeholders</w:t>
            </w:r>
          </w:p>
        </w:tc>
        <w:tc>
          <w:tcPr>
            <w:tcW w:w="2340" w:type="dxa"/>
            <w:shd w:val="clear" w:color="auto" w:fill="DEEAF6" w:themeFill="accent1" w:themeFillTint="33"/>
          </w:tcPr>
          <w:p w14:paraId="26AC71B5" w14:textId="77777777" w:rsidR="005021C4" w:rsidRPr="00755A3B" w:rsidRDefault="005021C4" w:rsidP="00A06607">
            <w:pPr>
              <w:jc w:val="center"/>
              <w:rPr>
                <w:rFonts w:cs="Times New Roman"/>
                <w:i/>
                <w:iCs/>
                <w:sz w:val="24"/>
                <w:szCs w:val="24"/>
                <w:lang w:val="en-US"/>
              </w:rPr>
            </w:pPr>
            <w:r w:rsidRPr="00755A3B">
              <w:rPr>
                <w:rFonts w:cs="Times New Roman"/>
                <w:i/>
                <w:iCs/>
                <w:sz w:val="24"/>
                <w:szCs w:val="24"/>
                <w:lang w:val="en-US"/>
              </w:rPr>
              <w:t>Role</w:t>
            </w:r>
          </w:p>
        </w:tc>
        <w:tc>
          <w:tcPr>
            <w:tcW w:w="4849" w:type="dxa"/>
            <w:shd w:val="clear" w:color="auto" w:fill="DEEAF6" w:themeFill="accent1" w:themeFillTint="33"/>
          </w:tcPr>
          <w:p w14:paraId="4092E1E1" w14:textId="77777777" w:rsidR="005021C4" w:rsidRPr="00755A3B" w:rsidRDefault="005021C4" w:rsidP="00A06607">
            <w:pPr>
              <w:jc w:val="center"/>
              <w:rPr>
                <w:rFonts w:cs="Times New Roman"/>
                <w:i/>
                <w:iCs/>
                <w:sz w:val="24"/>
                <w:szCs w:val="24"/>
                <w:lang w:val="en-US"/>
              </w:rPr>
            </w:pPr>
            <w:r w:rsidRPr="00755A3B">
              <w:rPr>
                <w:rFonts w:cs="Times New Roman"/>
                <w:i/>
                <w:iCs/>
                <w:sz w:val="24"/>
                <w:szCs w:val="24"/>
                <w:lang w:val="en-US"/>
              </w:rPr>
              <w:t>Responsibilities</w:t>
            </w:r>
          </w:p>
        </w:tc>
      </w:tr>
      <w:tr w:rsidR="005021C4" w:rsidRPr="00573891" w14:paraId="1DE49F92" w14:textId="77777777" w:rsidTr="00A06607">
        <w:tc>
          <w:tcPr>
            <w:tcW w:w="2155" w:type="dxa"/>
          </w:tcPr>
          <w:p w14:paraId="65C443CA"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Ministry of Environment</w:t>
            </w:r>
          </w:p>
        </w:tc>
        <w:tc>
          <w:tcPr>
            <w:tcW w:w="2340" w:type="dxa"/>
          </w:tcPr>
          <w:p w14:paraId="35699937" w14:textId="77777777" w:rsidR="005021C4" w:rsidRPr="00755A3B" w:rsidRDefault="005021C4" w:rsidP="00A06607">
            <w:pPr>
              <w:jc w:val="both"/>
              <w:rPr>
                <w:rFonts w:cs="Times New Roman"/>
                <w:sz w:val="24"/>
                <w:szCs w:val="24"/>
                <w:lang w:val="en-US"/>
              </w:rPr>
            </w:pPr>
            <w:r w:rsidRPr="00755A3B">
              <w:rPr>
                <w:rFonts w:cs="Times New Roman"/>
                <w:sz w:val="24"/>
                <w:szCs w:val="24"/>
                <w:lang w:val="en-US"/>
              </w:rPr>
              <w:t>Establishment of technical and administrative rules and procedures</w:t>
            </w:r>
          </w:p>
        </w:tc>
        <w:tc>
          <w:tcPr>
            <w:tcW w:w="4849" w:type="dxa"/>
          </w:tcPr>
          <w:p w14:paraId="2F279DFC" w14:textId="77777777" w:rsidR="005021C4" w:rsidRPr="00755A3B" w:rsidRDefault="005021C4" w:rsidP="00A06607">
            <w:pPr>
              <w:pStyle w:val="ListParagraph"/>
              <w:ind w:left="0"/>
              <w:rPr>
                <w:rFonts w:cs="Times New Roman"/>
                <w:b/>
                <w:bCs/>
                <w:sz w:val="24"/>
                <w:szCs w:val="24"/>
                <w:lang w:val="en-US"/>
              </w:rPr>
            </w:pPr>
            <w:r w:rsidRPr="00755A3B">
              <w:rPr>
                <w:rFonts w:cs="Times New Roman"/>
                <w:sz w:val="24"/>
                <w:szCs w:val="24"/>
                <w:lang w:val="en-US"/>
              </w:rPr>
              <w:t>Analysis and validation of environmental impact assessment methodologies</w:t>
            </w:r>
          </w:p>
        </w:tc>
      </w:tr>
      <w:tr w:rsidR="005021C4" w:rsidRPr="00573891" w14:paraId="71A56C04" w14:textId="77777777" w:rsidTr="00A06607">
        <w:tc>
          <w:tcPr>
            <w:tcW w:w="2155" w:type="dxa"/>
          </w:tcPr>
          <w:p w14:paraId="66CA6167"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w:t>
            </w:r>
            <w:proofErr w:type="spellStart"/>
            <w:r w:rsidRPr="00755A3B">
              <w:rPr>
                <w:rFonts w:cs="Times New Roman"/>
                <w:b/>
                <w:bCs/>
                <w:sz w:val="24"/>
                <w:szCs w:val="24"/>
                <w:lang w:val="en-US"/>
              </w:rPr>
              <w:t>Apele</w:t>
            </w:r>
            <w:proofErr w:type="spellEnd"/>
            <w:r w:rsidRPr="00755A3B">
              <w:rPr>
                <w:rFonts w:cs="Times New Roman"/>
                <w:b/>
                <w:bCs/>
                <w:sz w:val="24"/>
                <w:szCs w:val="24"/>
                <w:lang w:val="en-US"/>
              </w:rPr>
              <w:t xml:space="preserve"> </w:t>
            </w:r>
            <w:proofErr w:type="spellStart"/>
            <w:r w:rsidRPr="00755A3B">
              <w:rPr>
                <w:rFonts w:cs="Times New Roman"/>
                <w:b/>
                <w:bCs/>
                <w:sz w:val="24"/>
                <w:szCs w:val="24"/>
                <w:lang w:val="en-US"/>
              </w:rPr>
              <w:t>Moldovei</w:t>
            </w:r>
            <w:proofErr w:type="spellEnd"/>
            <w:r w:rsidRPr="00755A3B">
              <w:rPr>
                <w:rFonts w:cs="Times New Roman"/>
                <w:b/>
                <w:bCs/>
                <w:sz w:val="24"/>
                <w:szCs w:val="24"/>
                <w:lang w:val="en-US"/>
              </w:rPr>
              <w:t>" Authority</w:t>
            </w:r>
          </w:p>
        </w:tc>
        <w:tc>
          <w:tcPr>
            <w:tcW w:w="2340" w:type="dxa"/>
          </w:tcPr>
          <w:p w14:paraId="7D07A38D"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Expertise and technical involvement</w:t>
            </w:r>
          </w:p>
        </w:tc>
        <w:tc>
          <w:tcPr>
            <w:tcW w:w="4849" w:type="dxa"/>
          </w:tcPr>
          <w:p w14:paraId="291A5115" w14:textId="77777777" w:rsidR="005021C4" w:rsidRPr="00755A3B" w:rsidRDefault="005021C4" w:rsidP="00A06607">
            <w:pPr>
              <w:pStyle w:val="Compact"/>
              <w:jc w:val="both"/>
              <w:rPr>
                <w:rFonts w:ascii="Times New Roman" w:hAnsi="Times New Roman" w:cs="Times New Roman"/>
                <w:lang w:val="en-US"/>
              </w:rPr>
            </w:pPr>
            <w:proofErr w:type="spellStart"/>
            <w:r w:rsidRPr="00755A3B">
              <w:rPr>
                <w:rFonts w:ascii="Times New Roman" w:hAnsi="Times New Roman" w:cs="Times New Roman"/>
                <w:lang w:val="en-US"/>
              </w:rPr>
              <w:t>Apele</w:t>
            </w:r>
            <w:proofErr w:type="spellEnd"/>
            <w:r w:rsidRPr="00755A3B">
              <w:rPr>
                <w:rFonts w:ascii="Times New Roman" w:hAnsi="Times New Roman" w:cs="Times New Roman"/>
                <w:lang w:val="en-US"/>
              </w:rPr>
              <w:t xml:space="preserve"> </w:t>
            </w:r>
            <w:proofErr w:type="spellStart"/>
            <w:r w:rsidRPr="00755A3B">
              <w:rPr>
                <w:rFonts w:ascii="Times New Roman" w:hAnsi="Times New Roman" w:cs="Times New Roman"/>
                <w:lang w:val="en-US"/>
              </w:rPr>
              <w:t>Moldovei</w:t>
            </w:r>
            <w:proofErr w:type="spellEnd"/>
            <w:r w:rsidRPr="00755A3B">
              <w:rPr>
                <w:rFonts w:ascii="Times New Roman" w:hAnsi="Times New Roman" w:cs="Times New Roman"/>
                <w:lang w:val="en-US"/>
              </w:rPr>
              <w:t xml:space="preserve"> Authority will oversee the study, provide available data (water monitoring records). They will be present at key meetings and ensure that the study aligns with national water management priorities. Their technical staff can accompany field missions and contribute institutional knowledge on water resource issues.</w:t>
            </w:r>
          </w:p>
        </w:tc>
      </w:tr>
      <w:tr w:rsidR="005021C4" w:rsidRPr="00573891" w14:paraId="7C9A588C" w14:textId="77777777" w:rsidTr="00A06607">
        <w:tc>
          <w:tcPr>
            <w:tcW w:w="2155" w:type="dxa"/>
          </w:tcPr>
          <w:p w14:paraId="722DCA0A"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Local Environmental Authority / Inspectorate</w:t>
            </w:r>
          </w:p>
        </w:tc>
        <w:tc>
          <w:tcPr>
            <w:tcW w:w="2340" w:type="dxa"/>
          </w:tcPr>
          <w:p w14:paraId="61ACD3BF"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Regulatory oversight</w:t>
            </w:r>
          </w:p>
          <w:p w14:paraId="3E4438CD" w14:textId="77777777" w:rsidR="005021C4" w:rsidRPr="00755A3B" w:rsidRDefault="005021C4" w:rsidP="00A06607">
            <w:pPr>
              <w:jc w:val="center"/>
              <w:rPr>
                <w:rFonts w:cs="Times New Roman"/>
                <w:sz w:val="24"/>
                <w:szCs w:val="24"/>
                <w:lang w:val="en-US"/>
              </w:rPr>
            </w:pPr>
          </w:p>
        </w:tc>
        <w:tc>
          <w:tcPr>
            <w:tcW w:w="4849" w:type="dxa"/>
          </w:tcPr>
          <w:p w14:paraId="5A43F852"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The regional or local branch of the Ministry of Environment (such as the Environmental Agency responsible for monitoring or the Environmental Protection Inspectorate) will be consulted for regulatory guidance. They will advise on any permitting requirements and environmental standards. It also provides historical data on compliance issues or previous interventions in the sub-basin.</w:t>
            </w:r>
          </w:p>
        </w:tc>
      </w:tr>
      <w:tr w:rsidR="005021C4" w:rsidRPr="00573891" w14:paraId="436180B9" w14:textId="77777777" w:rsidTr="00A06607">
        <w:tc>
          <w:tcPr>
            <w:tcW w:w="2155" w:type="dxa"/>
          </w:tcPr>
          <w:p w14:paraId="4843EF3D"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Local public authorities</w:t>
            </w:r>
          </w:p>
        </w:tc>
        <w:tc>
          <w:tcPr>
            <w:tcW w:w="2340" w:type="dxa"/>
          </w:tcPr>
          <w:p w14:paraId="713DE514"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Community Liaison and Support</w:t>
            </w:r>
          </w:p>
        </w:tc>
        <w:tc>
          <w:tcPr>
            <w:tcW w:w="4849" w:type="dxa"/>
          </w:tcPr>
          <w:p w14:paraId="6E8A1C03"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 xml:space="preserve">Local government officials (mayors, council representatives) will </w:t>
            </w:r>
            <w:proofErr w:type="spellStart"/>
            <w:r w:rsidRPr="00755A3B">
              <w:rPr>
                <w:rFonts w:ascii="Times New Roman" w:hAnsi="Times New Roman" w:cs="Times New Roman"/>
                <w:lang w:val="en-US"/>
              </w:rPr>
              <w:t>joint</w:t>
            </w:r>
            <w:proofErr w:type="spellEnd"/>
            <w:r w:rsidRPr="00755A3B">
              <w:rPr>
                <w:rFonts w:ascii="Times New Roman" w:hAnsi="Times New Roman" w:cs="Times New Roman"/>
                <w:lang w:val="en-US"/>
              </w:rPr>
              <w:t xml:space="preserve"> the visits of experts to represent community interests, facilitate meetings with residents, and help identify appropriate intervention sites on communal land if necessary. They are essential for local acceptance and for any arrangements regarding the use of local land or resources.</w:t>
            </w:r>
          </w:p>
        </w:tc>
      </w:tr>
      <w:tr w:rsidR="005021C4" w:rsidRPr="00573891" w14:paraId="73F39994" w14:textId="77777777" w:rsidTr="00A06607">
        <w:tc>
          <w:tcPr>
            <w:tcW w:w="2155" w:type="dxa"/>
          </w:tcPr>
          <w:p w14:paraId="0E9406C3"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Local communities and water users</w:t>
            </w:r>
          </w:p>
        </w:tc>
        <w:tc>
          <w:tcPr>
            <w:tcW w:w="2340" w:type="dxa"/>
          </w:tcPr>
          <w:p w14:paraId="5FD41A3D"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Beneficiaries and sources of knowledge</w:t>
            </w:r>
          </w:p>
        </w:tc>
        <w:tc>
          <w:tcPr>
            <w:tcW w:w="4849" w:type="dxa"/>
          </w:tcPr>
          <w:p w14:paraId="66FF873A"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Residents, farmers and businesses in the sub-basin are affected by the current water problems and can benefit from improvements. Their knowledge (about pollution incidents, practical constraints, cultural values) is invaluable. Community members will be invited to consultation meetings and possibly join participatory monitoring (</w:t>
            </w:r>
            <w:proofErr w:type="gramStart"/>
            <w:r w:rsidRPr="00755A3B">
              <w:rPr>
                <w:rFonts w:ascii="Times New Roman" w:hAnsi="Times New Roman" w:cs="Times New Roman"/>
                <w:lang w:val="en-US"/>
              </w:rPr>
              <w:t>e.g.</w:t>
            </w:r>
            <w:proofErr w:type="gramEnd"/>
            <w:r w:rsidRPr="00755A3B">
              <w:rPr>
                <w:rFonts w:ascii="Times New Roman" w:hAnsi="Times New Roman" w:cs="Times New Roman"/>
                <w:lang w:val="en-US"/>
              </w:rPr>
              <w:t xml:space="preserve"> sampling of water </w:t>
            </w:r>
            <w:r w:rsidRPr="00755A3B">
              <w:rPr>
                <w:rFonts w:ascii="Times New Roman" w:hAnsi="Times New Roman" w:cs="Times New Roman"/>
                <w:lang w:val="en-US"/>
              </w:rPr>
              <w:lastRenderedPageBreak/>
              <w:t>quality in the community) as part of the engagement. The study will document their concerns to shape socially acceptable solutions.</w:t>
            </w:r>
          </w:p>
        </w:tc>
      </w:tr>
      <w:tr w:rsidR="005021C4" w:rsidRPr="00573891" w14:paraId="0C109AF1" w14:textId="77777777" w:rsidTr="00A06607">
        <w:tc>
          <w:tcPr>
            <w:tcW w:w="2155" w:type="dxa"/>
          </w:tcPr>
          <w:p w14:paraId="6357B6FA"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lastRenderedPageBreak/>
              <w:t>Environmental NGOs or civil society groups</w:t>
            </w:r>
          </w:p>
        </w:tc>
        <w:tc>
          <w:tcPr>
            <w:tcW w:w="2340" w:type="dxa"/>
          </w:tcPr>
          <w:p w14:paraId="37138A89"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Advocacy and independent perspective</w:t>
            </w:r>
          </w:p>
          <w:p w14:paraId="03B66AF6" w14:textId="77777777" w:rsidR="005021C4" w:rsidRPr="00755A3B" w:rsidRDefault="005021C4" w:rsidP="00A06607">
            <w:pPr>
              <w:rPr>
                <w:rFonts w:cs="Times New Roman"/>
                <w:sz w:val="24"/>
                <w:szCs w:val="24"/>
                <w:lang w:val="en-US"/>
              </w:rPr>
            </w:pPr>
          </w:p>
          <w:p w14:paraId="083213E5" w14:textId="77777777" w:rsidR="005021C4" w:rsidRPr="00755A3B" w:rsidRDefault="005021C4" w:rsidP="00A06607">
            <w:pPr>
              <w:jc w:val="right"/>
              <w:rPr>
                <w:rFonts w:cs="Times New Roman"/>
                <w:sz w:val="24"/>
                <w:szCs w:val="24"/>
                <w:lang w:val="en-US"/>
              </w:rPr>
            </w:pPr>
          </w:p>
        </w:tc>
        <w:tc>
          <w:tcPr>
            <w:tcW w:w="4849" w:type="dxa"/>
          </w:tcPr>
          <w:p w14:paraId="0431F856"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Any active NGOs (national or local) that focus on water, conservation or public health in the region should be included. They can provide independent observations, help mobilize the community, and later help disseminate the results. Their early involvement also adds credibility and transparency to the process.</w:t>
            </w:r>
          </w:p>
        </w:tc>
      </w:tr>
      <w:tr w:rsidR="005021C4" w:rsidRPr="00573891" w14:paraId="4D63C15F" w14:textId="77777777" w:rsidTr="00A06607">
        <w:tc>
          <w:tcPr>
            <w:tcW w:w="2155" w:type="dxa"/>
          </w:tcPr>
          <w:p w14:paraId="7414BCA8"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Independent experts and academia</w:t>
            </w:r>
          </w:p>
        </w:tc>
        <w:tc>
          <w:tcPr>
            <w:tcW w:w="2340" w:type="dxa"/>
          </w:tcPr>
          <w:p w14:paraId="5A966035"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Technical consultancy</w:t>
            </w:r>
          </w:p>
        </w:tc>
        <w:tc>
          <w:tcPr>
            <w:tcW w:w="4849" w:type="dxa"/>
          </w:tcPr>
          <w:p w14:paraId="55F5AFBD"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Other independent experts (a hydrogeologist from a university or a water treatment engineer) can be consulted for peer review. International experts from the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consortium or similar EU projects can also be consulted to exchange experience from other pilot sites (what has been learned from the implementation of GREEN DUNE® in the Taranto or </w:t>
            </w:r>
            <w:proofErr w:type="spellStart"/>
            <w:r w:rsidRPr="00755A3B">
              <w:rPr>
                <w:rFonts w:ascii="Times New Roman" w:hAnsi="Times New Roman" w:cs="Times New Roman"/>
                <w:lang w:val="en-US"/>
              </w:rPr>
              <w:t>Thriasia</w:t>
            </w:r>
            <w:proofErr w:type="spellEnd"/>
            <w:r w:rsidRPr="00755A3B">
              <w:rPr>
                <w:rFonts w:ascii="Times New Roman" w:hAnsi="Times New Roman" w:cs="Times New Roman"/>
                <w:lang w:val="en-US"/>
              </w:rPr>
              <w:t xml:space="preserve"> sites). Such knowledge sharing will strengthen the analysis and ensure that global best practices are taken into account.</w:t>
            </w:r>
          </w:p>
        </w:tc>
      </w:tr>
      <w:tr w:rsidR="005021C4" w:rsidRPr="00573891" w14:paraId="46852E6C" w14:textId="77777777" w:rsidTr="00A06607">
        <w:tc>
          <w:tcPr>
            <w:tcW w:w="2155" w:type="dxa"/>
          </w:tcPr>
          <w:p w14:paraId="06FE3FF1" w14:textId="77777777" w:rsidR="005021C4" w:rsidRPr="00755A3B" w:rsidRDefault="005021C4" w:rsidP="00A06607">
            <w:pPr>
              <w:rPr>
                <w:rFonts w:cs="Times New Roman"/>
                <w:b/>
                <w:bCs/>
                <w:sz w:val="24"/>
                <w:szCs w:val="24"/>
                <w:lang w:val="en-US"/>
              </w:rPr>
            </w:pPr>
            <w:r w:rsidRPr="00755A3B">
              <w:rPr>
                <w:rFonts w:cs="Times New Roman"/>
                <w:b/>
                <w:bCs/>
                <w:sz w:val="24"/>
                <w:szCs w:val="24"/>
                <w:lang w:val="en-US"/>
              </w:rPr>
              <w:t>Technology provider (</w:t>
            </w:r>
            <w:proofErr w:type="spellStart"/>
            <w:r w:rsidRPr="00755A3B">
              <w:rPr>
                <w:rFonts w:cs="Times New Roman"/>
                <w:b/>
                <w:bCs/>
                <w:sz w:val="24"/>
                <w:szCs w:val="24"/>
                <w:lang w:val="en-US"/>
              </w:rPr>
              <w:t>Bluemater</w:t>
            </w:r>
            <w:proofErr w:type="spellEnd"/>
            <w:r w:rsidRPr="00755A3B">
              <w:rPr>
                <w:rFonts w:cs="Times New Roman"/>
                <w:b/>
                <w:bCs/>
                <w:sz w:val="24"/>
                <w:szCs w:val="24"/>
                <w:lang w:val="en-US"/>
              </w:rPr>
              <w:t xml:space="preserve"> S.A. or local partner):</w:t>
            </w:r>
          </w:p>
        </w:tc>
        <w:tc>
          <w:tcPr>
            <w:tcW w:w="2340" w:type="dxa"/>
          </w:tcPr>
          <w:p w14:paraId="62E7BFA3"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Source of technical information</w:t>
            </w:r>
          </w:p>
        </w:tc>
        <w:tc>
          <w:tcPr>
            <w:tcW w:w="4849" w:type="dxa"/>
          </w:tcPr>
          <w:p w14:paraId="6FAFCE2B" w14:textId="77777777" w:rsidR="005021C4" w:rsidRPr="00755A3B" w:rsidRDefault="005021C4" w:rsidP="00A06607">
            <w:pPr>
              <w:pStyle w:val="Compact"/>
              <w:jc w:val="both"/>
              <w:rPr>
                <w:rFonts w:ascii="Times New Roman" w:hAnsi="Times New Roman" w:cs="Times New Roman"/>
                <w:lang w:val="en-US"/>
              </w:rPr>
            </w:pPr>
            <w:r w:rsidRPr="00755A3B">
              <w:rPr>
                <w:rFonts w:ascii="Times New Roman" w:hAnsi="Times New Roman" w:cs="Times New Roman"/>
                <w:lang w:val="en-US"/>
              </w:rPr>
              <w:t xml:space="preserve">As the developer of GREEN DUNE, ® </w:t>
            </w:r>
            <w:proofErr w:type="spellStart"/>
            <w:r w:rsidRPr="00755A3B">
              <w:rPr>
                <w:rFonts w:ascii="Times New Roman" w:hAnsi="Times New Roman" w:cs="Times New Roman"/>
                <w:lang w:val="en-US"/>
              </w:rPr>
              <w:t>Bluemater</w:t>
            </w:r>
            <w:proofErr w:type="spellEnd"/>
            <w:r w:rsidRPr="00755A3B">
              <w:rPr>
                <w:rFonts w:ascii="Times New Roman" w:hAnsi="Times New Roman" w:cs="Times New Roman"/>
                <w:lang w:val="en-US"/>
              </w:rPr>
              <w:t xml:space="preserve"> (or any local licensed partner) could be requested for detailed technical information about the photobioreactor (design specifications, previous performance data) and cost estimates for implementation. While the feasibility study should remain objective (not a sales pitch), working with the supplier can clarify what changes may be needed for local conditions and produce up-to-date cost figures. If possible, a demonstration or site visit to an existing facility can be organized for Moldovan stakeholders to witness the technology in action.</w:t>
            </w:r>
          </w:p>
        </w:tc>
      </w:tr>
    </w:tbl>
    <w:p w14:paraId="06EEBD4C" w14:textId="77777777" w:rsidR="002E6A54" w:rsidRDefault="002E6A54" w:rsidP="002E6A54">
      <w:pPr>
        <w:pStyle w:val="Heading2"/>
        <w:ind w:left="630"/>
        <w:rPr>
          <w:rFonts w:cs="Times New Roman"/>
          <w:szCs w:val="24"/>
          <w:lang w:val="en-US"/>
        </w:rPr>
      </w:pPr>
    </w:p>
    <w:p w14:paraId="2CDC3CFB" w14:textId="48628756" w:rsidR="005837FC" w:rsidRPr="00755A3B" w:rsidRDefault="005837FC" w:rsidP="005837FC">
      <w:pPr>
        <w:pStyle w:val="Heading2"/>
        <w:numPr>
          <w:ilvl w:val="0"/>
          <w:numId w:val="10"/>
        </w:numPr>
        <w:rPr>
          <w:rFonts w:cs="Times New Roman"/>
          <w:szCs w:val="24"/>
          <w:lang w:val="en-US"/>
        </w:rPr>
      </w:pPr>
      <w:r w:rsidRPr="00755A3B">
        <w:rPr>
          <w:rFonts w:cs="Times New Roman"/>
          <w:szCs w:val="24"/>
          <w:lang w:val="en-US"/>
        </w:rPr>
        <w:t xml:space="preserve">Structure of the Report on the Feasibility Study </w:t>
      </w:r>
    </w:p>
    <w:p w14:paraId="181C39F6" w14:textId="77777777" w:rsidR="005837FC" w:rsidRPr="00755A3B" w:rsidRDefault="005837FC" w:rsidP="005837FC">
      <w:pPr>
        <w:rPr>
          <w:rFonts w:cs="Times New Roman"/>
          <w:sz w:val="24"/>
          <w:szCs w:val="24"/>
          <w:lang w:val="en-US"/>
        </w:rPr>
      </w:pPr>
    </w:p>
    <w:p w14:paraId="0DE83E81" w14:textId="77777777" w:rsidR="005837FC" w:rsidRPr="00755A3B" w:rsidRDefault="005837FC" w:rsidP="005837FC">
      <w:pPr>
        <w:spacing w:after="200" w:line="276" w:lineRule="auto"/>
        <w:ind w:firstLine="360"/>
        <w:jc w:val="both"/>
        <w:rPr>
          <w:rFonts w:cs="Times New Roman"/>
          <w:sz w:val="24"/>
          <w:szCs w:val="24"/>
          <w:lang w:val="en-US"/>
        </w:rPr>
      </w:pPr>
      <w:r w:rsidRPr="00755A3B">
        <w:rPr>
          <w:rFonts w:cs="Times New Roman"/>
          <w:sz w:val="24"/>
          <w:szCs w:val="24"/>
          <w:lang w:val="en-US"/>
        </w:rPr>
        <w:t>The report should be well-structured and technically rigorous, containing at least the following elements:</w:t>
      </w:r>
    </w:p>
    <w:p w14:paraId="21B28DD1"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lastRenderedPageBreak/>
        <w:t>Executive summary:</w:t>
      </w:r>
      <w:r w:rsidRPr="00755A3B">
        <w:rPr>
          <w:rFonts w:ascii="Times New Roman" w:hAnsi="Times New Roman" w:cs="Times New Roman"/>
          <w:lang w:val="en-US"/>
        </w:rPr>
        <w:t xml:space="preserve"> A concise presentation of the study, key findings, conclusions, and recommended actions – suitable for decision-makers.</w:t>
      </w:r>
    </w:p>
    <w:p w14:paraId="59F7522E"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Introduction:</w:t>
      </w:r>
      <w:r w:rsidRPr="00755A3B">
        <w:rPr>
          <w:rFonts w:ascii="Times New Roman" w:hAnsi="Times New Roman" w:cs="Times New Roman"/>
          <w:lang w:val="en-US"/>
        </w:rPr>
        <w:t xml:space="preserve"> Context of the study (context, objectives, scope), methodology used and any limitations.</w:t>
      </w:r>
    </w:p>
    <w:p w14:paraId="0018A4F4"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Baseline assessment:</w:t>
      </w:r>
      <w:r w:rsidRPr="00755A3B">
        <w:rPr>
          <w:rFonts w:ascii="Times New Roman" w:hAnsi="Times New Roman" w:cs="Times New Roman"/>
          <w:lang w:val="en-US"/>
        </w:rPr>
        <w:t xml:space="preserve"> Summary of the environmental and social baseline, including maps, water quality graphs, etc.</w:t>
      </w:r>
    </w:p>
    <w:p w14:paraId="4C7CC9E1"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Stakeholder input:</w:t>
      </w:r>
      <w:r w:rsidRPr="00755A3B">
        <w:rPr>
          <w:rFonts w:ascii="Times New Roman" w:hAnsi="Times New Roman" w:cs="Times New Roman"/>
          <w:lang w:val="en-US"/>
        </w:rPr>
        <w:t xml:space="preserve"> Summary of the stakeholder consultation process and feedback or key concerns raised.</w:t>
      </w:r>
    </w:p>
    <w:p w14:paraId="6A59A124"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Analysis sections</w:t>
      </w:r>
      <w:r w:rsidRPr="00755A3B">
        <w:rPr>
          <w:rFonts w:ascii="Times New Roman" w:hAnsi="Times New Roman" w:cs="Times New Roman"/>
          <w:lang w:val="en-US"/>
        </w:rPr>
        <w:t xml:space="preserve"> </w:t>
      </w:r>
      <w:r w:rsidRPr="00755A3B">
        <w:rPr>
          <w:rFonts w:ascii="Times New Roman" w:hAnsi="Times New Roman" w:cs="Times New Roman"/>
          <w:b/>
          <w:bCs/>
          <w:lang w:val="en-US"/>
        </w:rPr>
        <w:t>(A) – technical analysis, (B) – environmental analysis, (C) – regulation with a strong community commitment:</w:t>
      </w:r>
      <w:r w:rsidRPr="00755A3B">
        <w:rPr>
          <w:rFonts w:ascii="Times New Roman" w:hAnsi="Times New Roman" w:cs="Times New Roman"/>
          <w:lang w:val="en-US"/>
        </w:rPr>
        <w:t xml:space="preserve"> Results of technical feasibility analysis, regulatory review and risk assessment. Include comparative discussions about the scenarios or options being considered. Incorporate relevant tables or diagrams (conceptual design of the proposed solution, process flow of the photobioreactor, etc.). Refer to alignment </w:t>
      </w:r>
      <w:r w:rsidRPr="00755A3B">
        <w:rPr>
          <w:rFonts w:ascii="Times New Roman" w:hAnsi="Times New Roman" w:cs="Times New Roman"/>
          <w:b/>
          <w:bCs/>
          <w:lang w:val="en-US"/>
        </w:rPr>
        <w:t xml:space="preserve"> </w:t>
      </w:r>
      <w:r w:rsidRPr="00755A3B">
        <w:rPr>
          <w:rFonts w:ascii="Times New Roman" w:hAnsi="Times New Roman" w:cs="Times New Roman"/>
          <w:lang w:val="en-US"/>
        </w:rPr>
        <w:t>with the integrated approach of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and the EU WFD principles to strengthen the broader relevance of the solution (highlighting how the solution encourages multisectoral integration, uses an ecosystem-based approach and engages stakeholders</w:t>
      </w:r>
      <w:hyperlink r:id="rId31" w:anchor=":~:text=Appreciation%20of%20all%20aspects%20of,of%20ecosystems%20Understanding%20complexity%20and">
        <w:r w:rsidRPr="00755A3B">
          <w:rPr>
            <w:rStyle w:val="Hyperlink"/>
            <w:rFonts w:ascii="Times New Roman" w:hAnsi="Times New Roman" w:cs="Times New Roman"/>
            <w:lang w:val="en-US"/>
          </w:rPr>
          <w:t>[15]</w:t>
        </w:r>
      </w:hyperlink>
      <w:hyperlink r:id="rId32" w:anchor=":~:text=,4">
        <w:r w:rsidRPr="00755A3B">
          <w:rPr>
            <w:rStyle w:val="Hyperlink"/>
            <w:rFonts w:ascii="Times New Roman" w:hAnsi="Times New Roman" w:cs="Times New Roman"/>
            <w:lang w:val="en-US"/>
          </w:rPr>
          <w:t>[5]</w:t>
        </w:r>
      </w:hyperlink>
      <w:r w:rsidRPr="00755A3B">
        <w:rPr>
          <w:rFonts w:ascii="Times New Roman" w:hAnsi="Times New Roman" w:cs="Times New Roman"/>
          <w:lang w:val="en-US"/>
        </w:rPr>
        <w:t>).</w:t>
      </w:r>
    </w:p>
    <w:p w14:paraId="0B87D8D8"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GIS maps and figures:</w:t>
      </w:r>
      <w:r w:rsidRPr="00755A3B">
        <w:rPr>
          <w:rFonts w:ascii="Times New Roman" w:hAnsi="Times New Roman" w:cs="Times New Roman"/>
          <w:lang w:val="en-US"/>
        </w:rPr>
        <w:t xml:space="preserve"> Presentation of the applicability map and other key spatial data and maps (pollution sources map, land use map, etc.) made during the study.</w:t>
      </w:r>
    </w:p>
    <w:p w14:paraId="7596861F"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Conclusions and feasibility judgment:</w:t>
      </w:r>
      <w:r w:rsidRPr="00755A3B">
        <w:rPr>
          <w:rFonts w:ascii="Times New Roman" w:hAnsi="Times New Roman" w:cs="Times New Roman"/>
          <w:lang w:val="en-US"/>
        </w:rPr>
        <w:t xml:space="preserve"> A clear statement on whether and under what conditions the GREEN DUNE® technology is feasible in the </w:t>
      </w:r>
      <w:proofErr w:type="spellStart"/>
      <w:r w:rsidRPr="00755A3B">
        <w:rPr>
          <w:rFonts w:ascii="Times New Roman" w:hAnsi="Times New Roman" w:cs="Times New Roman"/>
          <w:lang w:val="en-US"/>
        </w:rPr>
        <w:t>Isnovăț</w:t>
      </w:r>
      <w:proofErr w:type="spellEnd"/>
      <w:r w:rsidRPr="00755A3B">
        <w:rPr>
          <w:rFonts w:ascii="Times New Roman" w:hAnsi="Times New Roman" w:cs="Times New Roman"/>
          <w:lang w:val="en-US"/>
        </w:rPr>
        <w:t xml:space="preserve"> sub-basin. Discuss any constraints (technical, financial, or social) that need to be addressed.</w:t>
      </w:r>
    </w:p>
    <w:p w14:paraId="2AA4412F"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Recommendations:</w:t>
      </w:r>
      <w:r w:rsidRPr="00755A3B">
        <w:rPr>
          <w:rFonts w:ascii="Times New Roman" w:hAnsi="Times New Roman" w:cs="Times New Roman"/>
          <w:lang w:val="en-US"/>
        </w:rPr>
        <w:t xml:space="preserve"> A detailed set of recommendations and next steps. This should include: the preferred implementation option (location and scale for a pilot project or project), any necessary preparatory actions (additional detailed design, obtaining funding or permits, capacity building of local operators) and how to integrate the intervention into ongoing water management efforts. It should also outline an implementation </w:t>
      </w:r>
      <w:r w:rsidRPr="00755A3B">
        <w:rPr>
          <w:rFonts w:ascii="Times New Roman" w:hAnsi="Times New Roman" w:cs="Times New Roman"/>
          <w:b/>
          <w:bCs/>
          <w:lang w:val="en-US"/>
        </w:rPr>
        <w:t>Roadmap</w:t>
      </w:r>
      <w:r w:rsidRPr="00755A3B">
        <w:rPr>
          <w:rFonts w:ascii="Times New Roman" w:hAnsi="Times New Roman" w:cs="Times New Roman"/>
          <w:lang w:val="en-US"/>
        </w:rPr>
        <w:t xml:space="preserve"> – a timeline of phases if the project is moving forward (design, procurement, construction, operation, monitoring). Make sure that the recommendations also take sustainability into account: for example, how the operation of the photobioreactor will be maintained beyond the pilot phase and opportunities for expansion or replication in other basins if successful.</w:t>
      </w:r>
    </w:p>
    <w:p w14:paraId="7A656D88" w14:textId="77777777" w:rsidR="005837FC" w:rsidRPr="00755A3B" w:rsidRDefault="005837FC" w:rsidP="005837FC">
      <w:pPr>
        <w:pStyle w:val="Compact"/>
        <w:numPr>
          <w:ilvl w:val="0"/>
          <w:numId w:val="9"/>
        </w:numPr>
        <w:spacing w:line="276" w:lineRule="auto"/>
        <w:jc w:val="both"/>
        <w:rPr>
          <w:rFonts w:ascii="Times New Roman" w:hAnsi="Times New Roman" w:cs="Times New Roman"/>
          <w:lang w:val="en-US"/>
        </w:rPr>
      </w:pPr>
      <w:r w:rsidRPr="00755A3B">
        <w:rPr>
          <w:rFonts w:ascii="Times New Roman" w:hAnsi="Times New Roman" w:cs="Times New Roman"/>
          <w:b/>
          <w:bCs/>
          <w:lang w:val="en-US"/>
        </w:rPr>
        <w:t>Annexes:</w:t>
      </w:r>
      <w:r w:rsidRPr="00755A3B">
        <w:rPr>
          <w:rFonts w:ascii="Times New Roman" w:hAnsi="Times New Roman" w:cs="Times New Roman"/>
          <w:lang w:val="en-US"/>
        </w:rPr>
        <w:t xml:space="preserve"> include raw data from field tests (results of laboratory analyses, spatial data), detailed consultation minutes or list of participants, technical specifications of the GREEN DUNE system (if provided by the manufacturer), etc.</w:t>
      </w:r>
    </w:p>
    <w:p w14:paraId="2027E2DC" w14:textId="77777777" w:rsidR="005837FC" w:rsidRPr="00755A3B" w:rsidRDefault="005837FC" w:rsidP="005837FC">
      <w:pPr>
        <w:pStyle w:val="Compact"/>
        <w:ind w:left="1440"/>
        <w:jc w:val="both"/>
        <w:rPr>
          <w:rFonts w:ascii="Times New Roman" w:hAnsi="Times New Roman" w:cs="Times New Roman"/>
          <w:lang w:val="en-US"/>
        </w:rPr>
      </w:pPr>
    </w:p>
    <w:p w14:paraId="11B5DFDF" w14:textId="58A52C5B" w:rsidR="00F5380C" w:rsidRPr="00755A3B" w:rsidRDefault="006F4668" w:rsidP="00CE7D4B">
      <w:pPr>
        <w:keepNext/>
        <w:keepLines/>
        <w:numPr>
          <w:ilvl w:val="0"/>
          <w:numId w:val="10"/>
        </w:numPr>
        <w:spacing w:before="40" w:after="0"/>
        <w:jc w:val="both"/>
        <w:outlineLvl w:val="1"/>
        <w:rPr>
          <w:rFonts w:eastAsiaTheme="majorEastAsia" w:cs="Times New Roman"/>
          <w:b/>
          <w:color w:val="000000" w:themeColor="text1"/>
          <w:sz w:val="24"/>
          <w:szCs w:val="24"/>
          <w:lang w:val="ro-MD"/>
        </w:rPr>
      </w:pPr>
      <w:r w:rsidRPr="00755A3B">
        <w:rPr>
          <w:rFonts w:eastAsiaTheme="majorEastAsia" w:cs="Times New Roman"/>
          <w:b/>
          <w:color w:val="000000" w:themeColor="text1"/>
          <w:sz w:val="24"/>
          <w:szCs w:val="24"/>
          <w:lang w:val="ro-RO"/>
        </w:rPr>
        <w:lastRenderedPageBreak/>
        <w:t xml:space="preserve">Structure of the </w:t>
      </w:r>
      <w:proofErr w:type="spellStart"/>
      <w:r w:rsidR="00F5380C" w:rsidRPr="00755A3B">
        <w:rPr>
          <w:rFonts w:eastAsiaTheme="majorEastAsia" w:cs="Times New Roman"/>
          <w:b/>
          <w:color w:val="000000" w:themeColor="text1"/>
          <w:sz w:val="24"/>
          <w:szCs w:val="24"/>
        </w:rPr>
        <w:t>Roadmap</w:t>
      </w:r>
      <w:proofErr w:type="spellEnd"/>
      <w:r w:rsidR="00F5380C" w:rsidRPr="00755A3B">
        <w:rPr>
          <w:rFonts w:eastAsiaTheme="majorEastAsia" w:cs="Times New Roman"/>
          <w:b/>
          <w:color w:val="000000" w:themeColor="text1"/>
          <w:sz w:val="24"/>
          <w:szCs w:val="24"/>
          <w:lang w:val="ro-RO"/>
        </w:rPr>
        <w:t xml:space="preserve"> </w:t>
      </w:r>
    </w:p>
    <w:p w14:paraId="53A380FD" w14:textId="77777777" w:rsidR="00C5119A" w:rsidRPr="00755A3B" w:rsidRDefault="00C5119A" w:rsidP="00C5119A">
      <w:pPr>
        <w:keepNext/>
        <w:keepLines/>
        <w:spacing w:before="40" w:after="0"/>
        <w:ind w:left="720"/>
        <w:jc w:val="both"/>
        <w:outlineLvl w:val="1"/>
        <w:rPr>
          <w:rFonts w:eastAsiaTheme="majorEastAsia" w:cs="Times New Roman"/>
          <w:b/>
          <w:color w:val="000000" w:themeColor="text1"/>
          <w:sz w:val="24"/>
          <w:szCs w:val="24"/>
          <w:lang w:val="ro-MD"/>
        </w:rPr>
      </w:pPr>
    </w:p>
    <w:p w14:paraId="3E3F9D43" w14:textId="77777777" w:rsidR="00C5119A" w:rsidRPr="00755A3B" w:rsidRDefault="00C5119A" w:rsidP="00C5119A">
      <w:pPr>
        <w:pStyle w:val="ListParagraph"/>
        <w:numPr>
          <w:ilvl w:val="0"/>
          <w:numId w:val="9"/>
        </w:numPr>
        <w:jc w:val="both"/>
        <w:rPr>
          <w:rFonts w:cs="Times New Roman"/>
          <w:sz w:val="24"/>
          <w:szCs w:val="24"/>
          <w:lang w:val="en-US"/>
        </w:rPr>
      </w:pPr>
      <w:r w:rsidRPr="00755A3B">
        <w:rPr>
          <w:rFonts w:cs="Times New Roman"/>
          <w:b/>
          <w:bCs/>
          <w:sz w:val="24"/>
          <w:szCs w:val="24"/>
          <w:lang w:val="en-US"/>
        </w:rPr>
        <w:t xml:space="preserve">Road map overview: </w:t>
      </w:r>
      <w:r w:rsidRPr="00755A3B">
        <w:rPr>
          <w:rFonts w:cs="Times New Roman"/>
          <w:sz w:val="24"/>
          <w:szCs w:val="24"/>
          <w:lang w:val="en-US"/>
        </w:rPr>
        <w:t xml:space="preserve">aim, scope, and reference to the </w:t>
      </w:r>
      <w:proofErr w:type="spellStart"/>
      <w:r w:rsidRPr="00755A3B">
        <w:rPr>
          <w:rFonts w:cs="Times New Roman"/>
          <w:sz w:val="24"/>
          <w:szCs w:val="24"/>
          <w:lang w:val="en-US"/>
        </w:rPr>
        <w:t>fesability</w:t>
      </w:r>
      <w:proofErr w:type="spellEnd"/>
      <w:r w:rsidRPr="00755A3B">
        <w:rPr>
          <w:rFonts w:cs="Times New Roman"/>
          <w:sz w:val="24"/>
          <w:szCs w:val="24"/>
          <w:lang w:val="en-US"/>
        </w:rPr>
        <w:t xml:space="preserve"> conclusions.</w:t>
      </w:r>
    </w:p>
    <w:p w14:paraId="7B0C4361" w14:textId="77777777"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Implementation pathway and phasing: p</w:t>
      </w:r>
      <w:r w:rsidRPr="00755A3B">
        <w:rPr>
          <w:rFonts w:cs="Times New Roman"/>
          <w:sz w:val="24"/>
          <w:szCs w:val="24"/>
          <w:lang w:val="en-US"/>
        </w:rPr>
        <w:t xml:space="preserve">hases with dates and gates (design, permits, procurement, installation/pilot, monitoring, evaluation, scale-up); align the phases with project milestones (workshops, SGC meetings) and the Sub-Grant calendar for drafting/validation and finalization of the </w:t>
      </w:r>
      <w:proofErr w:type="gramStart"/>
      <w:r w:rsidRPr="00755A3B">
        <w:rPr>
          <w:rFonts w:cs="Times New Roman"/>
          <w:sz w:val="24"/>
          <w:szCs w:val="24"/>
          <w:lang w:val="en-US"/>
        </w:rPr>
        <w:t>Roadmap</w:t>
      </w:r>
      <w:proofErr w:type="gramEnd"/>
      <w:r w:rsidRPr="00755A3B">
        <w:rPr>
          <w:rFonts w:cs="Times New Roman"/>
          <w:sz w:val="24"/>
          <w:szCs w:val="24"/>
          <w:lang w:val="en-US"/>
        </w:rPr>
        <w:t>.</w:t>
      </w:r>
    </w:p>
    <w:p w14:paraId="72E5669F" w14:textId="77777777"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 xml:space="preserve">Preferred technical option and sizing: </w:t>
      </w:r>
      <w:r w:rsidRPr="00755A3B">
        <w:rPr>
          <w:rFonts w:cs="Times New Roman"/>
          <w:sz w:val="24"/>
          <w:szCs w:val="24"/>
          <w:lang w:val="en-US"/>
        </w:rPr>
        <w:t>Selected scenario from the Feasibility Report chapter, capacity sizing (units, configuration), siting, utility tie-ins, seasonality measures; data dependencies and maps (site layouts, applicability map).</w:t>
      </w:r>
    </w:p>
    <w:p w14:paraId="416BA2F0" w14:textId="77777777"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Regulatory and permitting path:</w:t>
      </w:r>
      <w:r w:rsidRPr="00755A3B">
        <w:rPr>
          <w:rFonts w:cs="Times New Roman"/>
          <w:sz w:val="24"/>
          <w:szCs w:val="24"/>
          <w:lang w:val="en-US"/>
        </w:rPr>
        <w:t xml:space="preserve"> required approvals (water discharge, land use), responsible bodies, sequence, target dates, and dossier content; show alignment with WFD principles and national plans. </w:t>
      </w:r>
    </w:p>
    <w:p w14:paraId="1D25983A" w14:textId="1FAB5041"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 xml:space="preserve">Governance and delivery model: </w:t>
      </w:r>
      <w:r w:rsidRPr="00755A3B">
        <w:rPr>
          <w:rFonts w:cs="Times New Roman"/>
          <w:sz w:val="24"/>
          <w:szCs w:val="24"/>
          <w:lang w:val="en-US"/>
        </w:rPr>
        <w:t xml:space="preserve">Roles: AGCC (lead/owner of geo-data), </w:t>
      </w:r>
      <w:proofErr w:type="spellStart"/>
      <w:r w:rsidRPr="00755A3B">
        <w:rPr>
          <w:rFonts w:cs="Times New Roman"/>
          <w:sz w:val="24"/>
          <w:szCs w:val="24"/>
          <w:lang w:val="en-US"/>
        </w:rPr>
        <w:t>Apele</w:t>
      </w:r>
      <w:proofErr w:type="spellEnd"/>
      <w:r w:rsidRPr="00755A3B">
        <w:rPr>
          <w:rFonts w:cs="Times New Roman"/>
          <w:sz w:val="24"/>
          <w:szCs w:val="24"/>
          <w:lang w:val="en-US"/>
        </w:rPr>
        <w:t xml:space="preserve"> </w:t>
      </w:r>
      <w:proofErr w:type="spellStart"/>
      <w:r w:rsidRPr="00755A3B">
        <w:rPr>
          <w:rFonts w:cs="Times New Roman"/>
          <w:sz w:val="24"/>
          <w:szCs w:val="24"/>
          <w:lang w:val="en-US"/>
        </w:rPr>
        <w:t>Moldovei</w:t>
      </w:r>
      <w:proofErr w:type="spellEnd"/>
      <w:r w:rsidRPr="00755A3B">
        <w:rPr>
          <w:rFonts w:cs="Times New Roman"/>
          <w:sz w:val="24"/>
          <w:szCs w:val="24"/>
          <w:lang w:val="en-US"/>
        </w:rPr>
        <w:t xml:space="preserve"> (host/technical oversight), LPAs, lab partners, supplier/installer, and a </w:t>
      </w:r>
      <w:r w:rsidRPr="00755A3B">
        <w:rPr>
          <w:rStyle w:val="Strong"/>
          <w:rFonts w:cs="Times New Roman"/>
          <w:sz w:val="24"/>
          <w:szCs w:val="24"/>
          <w:lang w:val="en-US"/>
        </w:rPr>
        <w:t>team</w:t>
      </w:r>
      <w:r w:rsidRPr="00755A3B">
        <w:rPr>
          <w:rFonts w:cs="Times New Roman"/>
          <w:sz w:val="24"/>
          <w:szCs w:val="24"/>
          <w:lang w:val="en-US"/>
        </w:rPr>
        <w:t xml:space="preserve"> for decisions and validation. </w:t>
      </w:r>
    </w:p>
    <w:p w14:paraId="1CE1559F" w14:textId="77777777"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SIGSNL integration plan:</w:t>
      </w:r>
      <w:r w:rsidRPr="00755A3B">
        <w:rPr>
          <w:rFonts w:cs="Times New Roman"/>
          <w:sz w:val="24"/>
          <w:szCs w:val="24"/>
          <w:lang w:val="en-US"/>
        </w:rPr>
        <w:t xml:space="preserve"> what layers must be published by each LPA, data standards/metadata, training waves, (uploads, logins, layers used). </w:t>
      </w:r>
    </w:p>
    <w:p w14:paraId="51FA1CA8" w14:textId="77777777"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Stakeholder engagement and communication:</w:t>
      </w:r>
      <w:r w:rsidRPr="00755A3B">
        <w:rPr>
          <w:rFonts w:cs="Times New Roman"/>
          <w:sz w:val="24"/>
          <w:szCs w:val="24"/>
          <w:lang w:val="en-US"/>
        </w:rPr>
        <w:t xml:space="preserve"> Co-creation → validation → dissemination workshops; public materials (factsheet, slide deck), and feedback incorporation loop </w:t>
      </w:r>
    </w:p>
    <w:p w14:paraId="20664063" w14:textId="77777777" w:rsidR="00C5119A" w:rsidRPr="00755A3B" w:rsidRDefault="00C5119A" w:rsidP="00C5119A">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Monitoring and reporting: w</w:t>
      </w:r>
      <w:r w:rsidRPr="00755A3B">
        <w:rPr>
          <w:rFonts w:cs="Times New Roman"/>
          <w:sz w:val="24"/>
          <w:szCs w:val="24"/>
          <w:lang w:val="en-US"/>
        </w:rPr>
        <w:t xml:space="preserve">ater-quality KPIs, operational KPIs, SIGSNL adoption KPIs; interim + final reports; endorsement pathway. </w:t>
      </w:r>
    </w:p>
    <w:p w14:paraId="22648A61" w14:textId="77777777" w:rsidR="00755A3B" w:rsidRPr="00755A3B" w:rsidRDefault="00C5119A" w:rsidP="00755A3B">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Risk, assumptions and mitigation</w:t>
      </w:r>
      <w:r w:rsidRPr="00755A3B">
        <w:rPr>
          <w:rFonts w:cs="Times New Roman"/>
          <w:sz w:val="24"/>
          <w:szCs w:val="24"/>
          <w:lang w:val="en-US"/>
        </w:rPr>
        <w:t xml:space="preserve">: technical, institutional, financing, data, and social risks; mitigations and fallback options. </w:t>
      </w:r>
    </w:p>
    <w:p w14:paraId="60A0B45C" w14:textId="77777777" w:rsidR="00755A3B" w:rsidRPr="00755A3B" w:rsidRDefault="00C5119A" w:rsidP="00755A3B">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 xml:space="preserve">Financing and costs: </w:t>
      </w:r>
      <w:r w:rsidRPr="00755A3B">
        <w:rPr>
          <w:rFonts w:cs="Times New Roman"/>
          <w:sz w:val="24"/>
          <w:szCs w:val="24"/>
          <w:lang w:val="en-US"/>
        </w:rPr>
        <w:t xml:space="preserve">CAPEX/OPEX, funding sources (national programs, donors), procurement route, and value-for-money approach (use of local resources). </w:t>
      </w:r>
    </w:p>
    <w:p w14:paraId="677EAD37" w14:textId="7310A541" w:rsidR="00C5119A" w:rsidRPr="00755A3B" w:rsidRDefault="00C5119A" w:rsidP="00755A3B">
      <w:pPr>
        <w:pStyle w:val="ListParagraph"/>
        <w:numPr>
          <w:ilvl w:val="0"/>
          <w:numId w:val="9"/>
        </w:numPr>
        <w:jc w:val="both"/>
        <w:rPr>
          <w:rFonts w:cs="Times New Roman"/>
          <w:sz w:val="24"/>
          <w:szCs w:val="24"/>
          <w:lang w:val="en-US"/>
        </w:rPr>
      </w:pPr>
      <w:r w:rsidRPr="00755A3B">
        <w:rPr>
          <w:rStyle w:val="Strong"/>
          <w:rFonts w:cs="Times New Roman"/>
          <w:sz w:val="24"/>
          <w:szCs w:val="24"/>
          <w:lang w:val="en-US"/>
        </w:rPr>
        <w:t xml:space="preserve">Sustainability and replication plan: </w:t>
      </w:r>
      <w:r w:rsidRPr="00755A3B">
        <w:rPr>
          <w:rFonts w:cs="Times New Roman"/>
          <w:sz w:val="24"/>
          <w:szCs w:val="24"/>
          <w:lang w:val="en-US"/>
        </w:rPr>
        <w:t>O&amp;M model (who operates, who pays), training plan, spare parts, seasonal ops;</w:t>
      </w:r>
      <w:r w:rsidR="00ED4426" w:rsidRPr="00755A3B">
        <w:rPr>
          <w:rFonts w:cs="Times New Roman"/>
          <w:sz w:val="24"/>
          <w:szCs w:val="24"/>
          <w:lang w:val="en-US"/>
        </w:rPr>
        <w:t xml:space="preserve"> r</w:t>
      </w:r>
      <w:r w:rsidRPr="00755A3B">
        <w:rPr>
          <w:rFonts w:cs="Times New Roman"/>
          <w:sz w:val="24"/>
          <w:szCs w:val="24"/>
          <w:lang w:val="en-US"/>
        </w:rPr>
        <w:t xml:space="preserve">eplication path (neighboring LPAs, other basins), with policy hooks so </w:t>
      </w:r>
      <w:proofErr w:type="spellStart"/>
      <w:r w:rsidRPr="00755A3B">
        <w:rPr>
          <w:rFonts w:cs="Times New Roman"/>
          <w:sz w:val="24"/>
          <w:szCs w:val="24"/>
          <w:lang w:val="en-US"/>
        </w:rPr>
        <w:t>MoE</w:t>
      </w:r>
      <w:proofErr w:type="spellEnd"/>
      <w:r w:rsidRPr="00755A3B">
        <w:rPr>
          <w:rFonts w:cs="Times New Roman"/>
          <w:sz w:val="24"/>
          <w:szCs w:val="24"/>
          <w:lang w:val="en-US"/>
        </w:rPr>
        <w:t xml:space="preserve"> can support national upscaling</w:t>
      </w:r>
      <w:r w:rsidR="00ED4426" w:rsidRPr="00755A3B">
        <w:rPr>
          <w:rFonts w:cs="Times New Roman"/>
          <w:sz w:val="24"/>
          <w:szCs w:val="24"/>
          <w:lang w:val="en-US"/>
        </w:rPr>
        <w:t>.</w:t>
      </w:r>
    </w:p>
    <w:p w14:paraId="0E2BA405" w14:textId="77777777" w:rsidR="00F5380C" w:rsidRPr="00755A3B" w:rsidRDefault="00F5380C" w:rsidP="00CE7D4B">
      <w:pPr>
        <w:pStyle w:val="Compact"/>
        <w:spacing w:line="276" w:lineRule="auto"/>
        <w:ind w:left="360"/>
        <w:jc w:val="both"/>
        <w:rPr>
          <w:rFonts w:ascii="Times New Roman" w:hAnsi="Times New Roman" w:cs="Times New Roman"/>
          <w:lang w:val="ro-MD"/>
        </w:rPr>
      </w:pPr>
    </w:p>
    <w:p w14:paraId="4395A981" w14:textId="0253CB6B" w:rsidR="00ED4426" w:rsidRPr="00755A3B" w:rsidRDefault="00ED4426" w:rsidP="00ED4426">
      <w:pPr>
        <w:keepNext/>
        <w:keepLines/>
        <w:numPr>
          <w:ilvl w:val="0"/>
          <w:numId w:val="10"/>
        </w:numPr>
        <w:spacing w:before="40" w:after="0"/>
        <w:jc w:val="both"/>
        <w:outlineLvl w:val="1"/>
        <w:rPr>
          <w:rFonts w:eastAsiaTheme="majorEastAsia" w:cs="Times New Roman"/>
          <w:b/>
          <w:color w:val="000000" w:themeColor="text1"/>
          <w:sz w:val="24"/>
          <w:szCs w:val="24"/>
          <w:lang w:val="ro-MD"/>
        </w:rPr>
      </w:pPr>
      <w:r w:rsidRPr="00755A3B">
        <w:rPr>
          <w:rFonts w:eastAsiaTheme="majorEastAsia" w:cs="Times New Roman"/>
          <w:b/>
          <w:color w:val="000000" w:themeColor="text1"/>
          <w:sz w:val="24"/>
          <w:szCs w:val="24"/>
          <w:lang w:val="ro-MD"/>
        </w:rPr>
        <w:t>D</w:t>
      </w:r>
      <w:r w:rsidR="00033617" w:rsidRPr="00755A3B">
        <w:rPr>
          <w:rFonts w:eastAsiaTheme="majorEastAsia" w:cs="Times New Roman"/>
          <w:b/>
          <w:color w:val="000000" w:themeColor="text1"/>
          <w:sz w:val="24"/>
          <w:szCs w:val="24"/>
          <w:lang w:val="ro-MD"/>
        </w:rPr>
        <w:t>eliverables</w:t>
      </w:r>
    </w:p>
    <w:p w14:paraId="0C935113" w14:textId="71660F9C" w:rsidR="00ED4426" w:rsidRPr="00755A3B" w:rsidRDefault="00ED4426" w:rsidP="00ED4426">
      <w:pPr>
        <w:keepNext/>
        <w:keepLines/>
        <w:spacing w:before="40" w:after="0"/>
        <w:jc w:val="both"/>
        <w:outlineLvl w:val="1"/>
        <w:rPr>
          <w:rFonts w:eastAsiaTheme="majorEastAsia" w:cs="Times New Roman"/>
          <w:b/>
          <w:color w:val="000000" w:themeColor="text1"/>
          <w:sz w:val="24"/>
          <w:szCs w:val="24"/>
          <w:lang w:val="ro-MD"/>
        </w:rPr>
      </w:pPr>
      <w:r w:rsidRPr="00755A3B">
        <w:rPr>
          <w:rFonts w:eastAsiaTheme="majorEastAsia" w:cs="Times New Roman"/>
          <w:b/>
          <w:color w:val="000000" w:themeColor="text1"/>
          <w:sz w:val="24"/>
          <w:szCs w:val="24"/>
          <w:lang w:val="ro-MD"/>
        </w:rPr>
        <w:tab/>
      </w:r>
      <w:r w:rsidRPr="00755A3B">
        <w:rPr>
          <w:rFonts w:cs="Times New Roman"/>
          <w:sz w:val="24"/>
          <w:szCs w:val="24"/>
          <w:lang w:val="en-US"/>
        </w:rPr>
        <w:t>The service provider is expected to produce the following key deliverables, of professional quality and on time. All reports will be delivered in Romanian or (preferable) in English and both in electronic format (MS Word/PDF and relevant GIS data files):</w:t>
      </w:r>
    </w:p>
    <w:p w14:paraId="7FE707CB"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b/>
          <w:bCs/>
          <w:lang w:val="en-US"/>
        </w:rPr>
        <w:t>Commencement report</w:t>
      </w:r>
      <w:r w:rsidRPr="00755A3B">
        <w:rPr>
          <w:rFonts w:ascii="Times New Roman" w:hAnsi="Times New Roman" w:cs="Times New Roman"/>
          <w:lang w:val="en-US"/>
        </w:rPr>
        <w:t xml:space="preserve"> – delivered within 2 weeks from the start of the contract and presented during the 1</w:t>
      </w:r>
      <w:r w:rsidRPr="00755A3B">
        <w:rPr>
          <w:rFonts w:ascii="Times New Roman" w:hAnsi="Times New Roman" w:cs="Times New Roman"/>
          <w:vertAlign w:val="superscript"/>
          <w:lang w:val="en-US"/>
        </w:rPr>
        <w:t>st</w:t>
      </w:r>
      <w:r w:rsidRPr="00755A3B">
        <w:rPr>
          <w:rFonts w:ascii="Times New Roman" w:hAnsi="Times New Roman" w:cs="Times New Roman"/>
          <w:lang w:val="en-US"/>
        </w:rPr>
        <w:t xml:space="preserve"> Workshop with beneficiaries and stakeholders. This report will contain the refined work plan, detailed methodology, initial findings of the desk review. It will also include a stakeholder engagement plan and any immediate comments or recommendations for adjusting the scope. (Approval of the initial report by the client is a prerequisite for continued extensive fieldwork and for the first installment).</w:t>
      </w:r>
    </w:p>
    <w:p w14:paraId="5D22EB55"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b/>
          <w:bCs/>
          <w:lang w:val="en-US"/>
        </w:rPr>
        <w:lastRenderedPageBreak/>
        <w:t>Initial assessment report</w:t>
      </w:r>
      <w:r w:rsidRPr="00755A3B">
        <w:rPr>
          <w:rFonts w:ascii="Times New Roman" w:hAnsi="Times New Roman" w:cs="Times New Roman"/>
          <w:lang w:val="en-US"/>
        </w:rPr>
        <w:t xml:space="preserve"> – delivered approximately halfway through the period (end of month 2). This interim report documents the environmental base of the </w:t>
      </w:r>
      <w:proofErr w:type="spellStart"/>
      <w:r w:rsidRPr="00755A3B">
        <w:rPr>
          <w:rFonts w:ascii="Times New Roman" w:hAnsi="Times New Roman" w:cs="Times New Roman"/>
          <w:lang w:val="en-US"/>
        </w:rPr>
        <w:t>Isnovăț</w:t>
      </w:r>
      <w:proofErr w:type="spellEnd"/>
      <w:r w:rsidRPr="00755A3B">
        <w:rPr>
          <w:rFonts w:ascii="Times New Roman" w:hAnsi="Times New Roman" w:cs="Times New Roman"/>
          <w:lang w:val="en-US"/>
        </w:rPr>
        <w:t xml:space="preserve"> sub-basin and the results of the initial analysis. It should include spatial data registered, maps from GIS analysis, summaries of field data results (with lab reports attached), and identification of key issues and pollution hotspots. It will also summarize the contributions of stakeholders gathered so far. The goal is to confirm the diagnosis of the problems before moving on to the feasibility of the solutions. The report will be presented during the 2</w:t>
      </w:r>
      <w:r w:rsidRPr="00755A3B">
        <w:rPr>
          <w:rFonts w:ascii="Times New Roman" w:hAnsi="Times New Roman" w:cs="Times New Roman"/>
          <w:vertAlign w:val="superscript"/>
          <w:lang w:val="en-US"/>
        </w:rPr>
        <w:t>nd</w:t>
      </w:r>
      <w:r w:rsidRPr="00755A3B">
        <w:rPr>
          <w:rFonts w:ascii="Times New Roman" w:hAnsi="Times New Roman" w:cs="Times New Roman"/>
          <w:lang w:val="en-US"/>
        </w:rPr>
        <w:t xml:space="preserve"> Co-creation Workshop where stakeholders will review and provide feedback.</w:t>
      </w:r>
    </w:p>
    <w:p w14:paraId="1FAB0DFF"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b/>
          <w:bCs/>
          <w:lang w:val="en-US"/>
        </w:rPr>
        <w:t>Summary of the stakeholder consultation</w:t>
      </w:r>
      <w:r w:rsidRPr="00755A3B">
        <w:rPr>
          <w:rFonts w:ascii="Times New Roman" w:hAnsi="Times New Roman" w:cs="Times New Roman"/>
          <w:lang w:val="en-US"/>
        </w:rPr>
        <w:t xml:space="preserve"> – delivered in attachment of the Final report. This is a compendium of stakeholder engagement: meeting minutes, lists of participants, key points of feedback, results from the questionnaires, minutes from the discussions with communities, and how they have been or will address the basin problems. </w:t>
      </w:r>
    </w:p>
    <w:p w14:paraId="0044BB9E"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b/>
          <w:bCs/>
          <w:lang w:val="en-US"/>
        </w:rPr>
        <w:t xml:space="preserve">Draft of the Report on Feasibility Study and draft of the </w:t>
      </w:r>
      <w:proofErr w:type="gramStart"/>
      <w:r w:rsidRPr="00755A3B">
        <w:rPr>
          <w:rFonts w:ascii="Times New Roman" w:hAnsi="Times New Roman" w:cs="Times New Roman"/>
          <w:b/>
          <w:bCs/>
          <w:lang w:val="en-US"/>
        </w:rPr>
        <w:t>Roadmap</w:t>
      </w:r>
      <w:proofErr w:type="gramEnd"/>
      <w:r w:rsidRPr="00755A3B">
        <w:rPr>
          <w:rFonts w:ascii="Times New Roman" w:hAnsi="Times New Roman" w:cs="Times New Roman"/>
          <w:lang w:val="en-US"/>
        </w:rPr>
        <w:t xml:space="preserve"> – delivered by month 3. This comprehensive project will cover all the elements described in the field of work. It should include preliminary conclusions on feasibility, draft recommendations and mapping of applicability. All technical analyses, designs and supporting evidence should be included. The draft document will be distributed for feedback to the stakeholders.</w:t>
      </w:r>
    </w:p>
    <w:p w14:paraId="67DE56EA"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b/>
          <w:bCs/>
          <w:lang w:val="en-US"/>
        </w:rPr>
        <w:t>Final Report of the Feasibility Study and Roadmap</w:t>
      </w:r>
      <w:r w:rsidRPr="00755A3B">
        <w:rPr>
          <w:rFonts w:ascii="Times New Roman" w:hAnsi="Times New Roman" w:cs="Times New Roman"/>
          <w:lang w:val="en-US"/>
        </w:rPr>
        <w:t xml:space="preserve"> – delivered by the end of the contract (month 4). The final report will incorporate customer and stakeholder feedback on the project. It must be a polished, quality document for publication. The final report should also contain an executive summary that can be used as a stand-alone briefing document for decision-makers. In addition, provide the </w:t>
      </w:r>
      <w:proofErr w:type="gramStart"/>
      <w:r w:rsidRPr="00755A3B">
        <w:rPr>
          <w:rFonts w:ascii="Times New Roman" w:hAnsi="Times New Roman" w:cs="Times New Roman"/>
          <w:lang w:val="en-US"/>
        </w:rPr>
        <w:t>Roadmap</w:t>
      </w:r>
      <w:proofErr w:type="gramEnd"/>
      <w:r w:rsidRPr="00755A3B">
        <w:rPr>
          <w:rFonts w:ascii="Times New Roman" w:hAnsi="Times New Roman" w:cs="Times New Roman"/>
          <w:lang w:val="en-US"/>
        </w:rPr>
        <w:t xml:space="preserve"> along with the Report:</w:t>
      </w:r>
    </w:p>
    <w:p w14:paraId="57B949E4"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lang w:val="en-US"/>
        </w:rPr>
        <w:t xml:space="preserve">All available, registered or additionally collected </w:t>
      </w:r>
      <w:r w:rsidRPr="00755A3B">
        <w:rPr>
          <w:rFonts w:ascii="Times New Roman" w:hAnsi="Times New Roman" w:cs="Times New Roman"/>
          <w:b/>
          <w:bCs/>
          <w:lang w:val="en-US"/>
        </w:rPr>
        <w:t>spatial data</w:t>
      </w:r>
      <w:r w:rsidRPr="00755A3B">
        <w:rPr>
          <w:rFonts w:ascii="Times New Roman" w:hAnsi="Times New Roman" w:cs="Times New Roman"/>
          <w:lang w:val="en-US"/>
        </w:rPr>
        <w:t xml:space="preserve"> should be integrated into the Report and Roadmap.</w:t>
      </w:r>
    </w:p>
    <w:p w14:paraId="7A5493DB"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lang w:val="en-US"/>
        </w:rPr>
        <w:t xml:space="preserve">A set of </w:t>
      </w:r>
      <w:r w:rsidRPr="00755A3B">
        <w:rPr>
          <w:rFonts w:ascii="Times New Roman" w:hAnsi="Times New Roman" w:cs="Times New Roman"/>
          <w:b/>
          <w:bCs/>
          <w:lang w:val="en-US"/>
        </w:rPr>
        <w:t>presentation slides</w:t>
      </w:r>
      <w:r w:rsidRPr="00755A3B">
        <w:rPr>
          <w:rFonts w:ascii="Times New Roman" w:hAnsi="Times New Roman" w:cs="Times New Roman"/>
          <w:lang w:val="en-US"/>
        </w:rPr>
        <w:t xml:space="preserve"> (PowerPoint) summarizing the findings of the study – to facilitate dissemination with stakeholders, project partners, project team, policymakers and donors.</w:t>
      </w:r>
    </w:p>
    <w:p w14:paraId="19B92535"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lang w:val="en-US"/>
        </w:rPr>
        <w:t xml:space="preserve">Any </w:t>
      </w:r>
      <w:r w:rsidRPr="00755A3B">
        <w:rPr>
          <w:rFonts w:ascii="Times New Roman" w:hAnsi="Times New Roman" w:cs="Times New Roman"/>
          <w:b/>
          <w:bCs/>
          <w:lang w:val="en-US"/>
        </w:rPr>
        <w:t>raw data</w:t>
      </w:r>
      <w:r w:rsidRPr="00755A3B">
        <w:rPr>
          <w:rFonts w:ascii="Times New Roman" w:hAnsi="Times New Roman" w:cs="Times New Roman"/>
          <w:lang w:val="en-US"/>
        </w:rPr>
        <w:t xml:space="preserve"> collected (results of water sample analysis, survey forms, photographs taken during fieldwork) in an organized digital format.</w:t>
      </w:r>
    </w:p>
    <w:p w14:paraId="6ED5246A" w14:textId="77777777" w:rsidR="00ED4426" w:rsidRPr="00755A3B" w:rsidRDefault="00ED4426" w:rsidP="00ED4426">
      <w:pPr>
        <w:pStyle w:val="Compact"/>
        <w:numPr>
          <w:ilvl w:val="0"/>
          <w:numId w:val="26"/>
        </w:numPr>
        <w:jc w:val="both"/>
        <w:rPr>
          <w:rFonts w:ascii="Times New Roman" w:hAnsi="Times New Roman" w:cs="Times New Roman"/>
          <w:lang w:val="en-US"/>
        </w:rPr>
      </w:pPr>
      <w:r w:rsidRPr="00755A3B">
        <w:rPr>
          <w:rFonts w:ascii="Times New Roman" w:hAnsi="Times New Roman" w:cs="Times New Roman"/>
          <w:b/>
          <w:bCs/>
          <w:lang w:val="en-US"/>
        </w:rPr>
        <w:t>Policy brief or fact sheet</w:t>
      </w:r>
      <w:r w:rsidRPr="00755A3B">
        <w:rPr>
          <w:rFonts w:ascii="Times New Roman" w:hAnsi="Times New Roman" w:cs="Times New Roman"/>
          <w:lang w:val="en-US"/>
        </w:rPr>
        <w:t xml:space="preserve">– a </w:t>
      </w:r>
      <w:proofErr w:type="gramStart"/>
      <w:r w:rsidRPr="00755A3B">
        <w:rPr>
          <w:rFonts w:ascii="Times New Roman" w:hAnsi="Times New Roman" w:cs="Times New Roman"/>
          <w:lang w:val="en-US"/>
        </w:rPr>
        <w:t>2-4 page</w:t>
      </w:r>
      <w:proofErr w:type="gramEnd"/>
      <w:r w:rsidRPr="00755A3B">
        <w:rPr>
          <w:rFonts w:ascii="Times New Roman" w:hAnsi="Times New Roman" w:cs="Times New Roman"/>
          <w:lang w:val="en-US"/>
        </w:rPr>
        <w:t xml:space="preserve"> non-technical summary highlighting why the GREEN DUNE solution is recommended and how it supports Moldova's water management objectives. This can be useful for public communication.</w:t>
      </w:r>
    </w:p>
    <w:p w14:paraId="01E2DF43" w14:textId="77777777" w:rsidR="00ED4426" w:rsidRPr="00755A3B" w:rsidRDefault="00ED4426" w:rsidP="00ED4426">
      <w:pPr>
        <w:pStyle w:val="Compact"/>
        <w:ind w:left="720"/>
        <w:jc w:val="both"/>
        <w:rPr>
          <w:rFonts w:ascii="Times New Roman" w:hAnsi="Times New Roman" w:cs="Times New Roman"/>
          <w:lang w:val="en-US"/>
        </w:rPr>
      </w:pPr>
    </w:p>
    <w:p w14:paraId="40BBFB58" w14:textId="77777777" w:rsidR="00ED4426" w:rsidRPr="00755A3B" w:rsidRDefault="00ED4426" w:rsidP="00ED4426">
      <w:pPr>
        <w:pStyle w:val="Heading2"/>
        <w:numPr>
          <w:ilvl w:val="0"/>
          <w:numId w:val="10"/>
        </w:numPr>
        <w:rPr>
          <w:rFonts w:cs="Times New Roman"/>
          <w:szCs w:val="24"/>
          <w:lang w:val="en-US"/>
        </w:rPr>
      </w:pPr>
      <w:r w:rsidRPr="00755A3B">
        <w:rPr>
          <w:rFonts w:cs="Times New Roman"/>
          <w:szCs w:val="24"/>
          <w:lang w:val="en-US"/>
        </w:rPr>
        <w:t>Specific information</w:t>
      </w:r>
    </w:p>
    <w:p w14:paraId="779BBE6A" w14:textId="504D4E27" w:rsidR="00ED4426" w:rsidRPr="00755A3B" w:rsidRDefault="00ED4426" w:rsidP="00ED4426">
      <w:pPr>
        <w:pStyle w:val="Heading2"/>
        <w:ind w:left="720"/>
        <w:rPr>
          <w:rFonts w:cs="Times New Roman"/>
          <w:szCs w:val="24"/>
          <w:lang w:val="en-US"/>
        </w:rPr>
      </w:pPr>
      <w:r w:rsidRPr="00755A3B">
        <w:rPr>
          <w:rFonts w:cs="Times New Roman"/>
          <w:szCs w:val="24"/>
          <w:lang w:val="en-US"/>
        </w:rPr>
        <w:t xml:space="preserve"> </w:t>
      </w:r>
    </w:p>
    <w:p w14:paraId="2CE4E7BD" w14:textId="77777777" w:rsidR="00ED4426" w:rsidRPr="00755A3B" w:rsidRDefault="00ED4426" w:rsidP="00ED4426">
      <w:pPr>
        <w:pStyle w:val="Compact"/>
        <w:spacing w:line="276" w:lineRule="auto"/>
        <w:ind w:firstLine="360"/>
        <w:jc w:val="both"/>
        <w:rPr>
          <w:rFonts w:ascii="Times New Roman" w:hAnsi="Times New Roman" w:cs="Times New Roman"/>
          <w:lang w:val="en-US"/>
        </w:rPr>
      </w:pPr>
      <w:r w:rsidRPr="00755A3B">
        <w:rPr>
          <w:rFonts w:ascii="Times New Roman" w:hAnsi="Times New Roman" w:cs="Times New Roman"/>
          <w:lang w:val="en-US"/>
        </w:rPr>
        <w:t xml:space="preserve">The estimated budget for this feasibility study is between €15,000. This budget is expected to cover all costs of consultancy services, fees, fieldwork expenses, laboratory analyses, questioning, focus groups, deliverables production. </w:t>
      </w:r>
    </w:p>
    <w:p w14:paraId="649B188C" w14:textId="77777777" w:rsidR="00ED4426" w:rsidRPr="00755A3B" w:rsidRDefault="00ED4426" w:rsidP="00ED4426">
      <w:pPr>
        <w:pStyle w:val="Compact"/>
        <w:spacing w:line="276" w:lineRule="auto"/>
        <w:ind w:firstLine="360"/>
        <w:jc w:val="both"/>
        <w:rPr>
          <w:rFonts w:ascii="Times New Roman" w:hAnsi="Times New Roman" w:cs="Times New Roman"/>
          <w:lang w:val="en-US"/>
        </w:rPr>
      </w:pPr>
      <w:r w:rsidRPr="00755A3B">
        <w:rPr>
          <w:rFonts w:ascii="Times New Roman" w:hAnsi="Times New Roman" w:cs="Times New Roman"/>
          <w:lang w:val="en-US"/>
        </w:rPr>
        <w:t xml:space="preserve">Financial proposals should provide a breakdown of costs by category (staff time, travel, laboratories etc.) to demonstrate how the total budget will be allocated. Economy and value for </w:t>
      </w:r>
      <w:r w:rsidRPr="00755A3B">
        <w:rPr>
          <w:rFonts w:ascii="Times New Roman" w:hAnsi="Times New Roman" w:cs="Times New Roman"/>
          <w:lang w:val="en-US"/>
        </w:rPr>
        <w:lastRenderedPageBreak/>
        <w:t>money are important – the use of local expertise and resources is encouraged to keep costs efficient, as long as quality is maintained.</w:t>
      </w:r>
    </w:p>
    <w:p w14:paraId="2D09995D" w14:textId="77777777" w:rsidR="00ED4426" w:rsidRPr="00755A3B" w:rsidRDefault="00ED4426" w:rsidP="00ED4426">
      <w:pPr>
        <w:pStyle w:val="Compact"/>
        <w:spacing w:line="276" w:lineRule="auto"/>
        <w:ind w:firstLine="360"/>
        <w:jc w:val="both"/>
        <w:rPr>
          <w:rFonts w:ascii="Times New Roman" w:hAnsi="Times New Roman" w:cs="Times New Roman"/>
          <w:lang w:val="en-US"/>
        </w:rPr>
      </w:pPr>
      <w:r w:rsidRPr="00755A3B">
        <w:rPr>
          <w:rFonts w:ascii="Times New Roman" w:hAnsi="Times New Roman" w:cs="Times New Roman"/>
          <w:lang w:val="en-US"/>
        </w:rPr>
        <w:t>Payments will be linked to deliverables in a typical schedule: an initial 30% advance payment upon signing the contract and Commencement Report presentation; and final 70% payment upon delivery and validation of the final Report on Feasibility Study and Roadmap. The exact terms of payment will be defined in the contract. Consultants should ensure that the proposed budget is sufficient to perform all tasks at the required quality; Any necessary surveys or laboratory tests must be planned within this budget package. The client will not reimburse costs beyond the contracted amount, so careful budgeting is essential.</w:t>
      </w:r>
    </w:p>
    <w:p w14:paraId="644D4AD7" w14:textId="4135BDB4" w:rsidR="00ED4426" w:rsidRPr="00755A3B" w:rsidRDefault="00ED4426" w:rsidP="00ED4426">
      <w:pPr>
        <w:pStyle w:val="Compact"/>
        <w:spacing w:line="276" w:lineRule="auto"/>
        <w:ind w:firstLine="360"/>
        <w:jc w:val="both"/>
        <w:rPr>
          <w:rFonts w:ascii="Times New Roman" w:hAnsi="Times New Roman" w:cs="Times New Roman"/>
          <w:lang w:val="en-US"/>
        </w:rPr>
      </w:pPr>
      <w:r w:rsidRPr="00755A3B">
        <w:rPr>
          <w:rFonts w:ascii="Times New Roman" w:hAnsi="Times New Roman" w:cs="Times New Roman"/>
          <w:lang w:val="en-US"/>
        </w:rPr>
        <w:t xml:space="preserve">The contract will be signed for a period of </w:t>
      </w:r>
      <w:r w:rsidR="00573891">
        <w:rPr>
          <w:rFonts w:ascii="Times New Roman" w:hAnsi="Times New Roman" w:cs="Times New Roman"/>
          <w:lang w:val="en-US"/>
        </w:rPr>
        <w:t xml:space="preserve">5 </w:t>
      </w:r>
      <w:r w:rsidRPr="00755A3B">
        <w:rPr>
          <w:rFonts w:ascii="Times New Roman" w:hAnsi="Times New Roman" w:cs="Times New Roman"/>
          <w:lang w:val="en-US"/>
        </w:rPr>
        <w:t>months.</w:t>
      </w:r>
    </w:p>
    <w:p w14:paraId="04600160" w14:textId="2065AE27" w:rsidR="00ED4426" w:rsidRPr="00755A3B" w:rsidRDefault="00ED4426" w:rsidP="00ED4426">
      <w:pPr>
        <w:pStyle w:val="FirstParagraph"/>
        <w:ind w:firstLine="360"/>
        <w:jc w:val="both"/>
        <w:rPr>
          <w:rFonts w:ascii="Times New Roman" w:hAnsi="Times New Roman" w:cs="Times New Roman"/>
          <w:lang w:val="en-US"/>
        </w:rPr>
      </w:pPr>
      <w:r w:rsidRPr="00755A3B">
        <w:rPr>
          <w:rFonts w:ascii="Times New Roman" w:hAnsi="Times New Roman" w:cs="Times New Roman"/>
          <w:lang w:val="en-US"/>
        </w:rPr>
        <w:t>The selected Group of consultants or Organization will have:</w:t>
      </w:r>
    </w:p>
    <w:p w14:paraId="722178F8" w14:textId="77777777" w:rsidR="00ED4426" w:rsidRPr="00755A3B" w:rsidRDefault="00ED4426" w:rsidP="00ED4426">
      <w:pPr>
        <w:pStyle w:val="FirstParagraph"/>
        <w:numPr>
          <w:ilvl w:val="0"/>
          <w:numId w:val="12"/>
        </w:numPr>
        <w:jc w:val="both"/>
        <w:rPr>
          <w:rFonts w:ascii="Times New Roman" w:hAnsi="Times New Roman" w:cs="Times New Roman"/>
          <w:lang w:val="ro-MD"/>
        </w:rPr>
      </w:pPr>
      <w:r w:rsidRPr="00755A3B">
        <w:rPr>
          <w:rFonts w:ascii="Times New Roman" w:hAnsi="Times New Roman" w:cs="Times New Roman"/>
          <w:lang w:val="en-US"/>
        </w:rPr>
        <w:t xml:space="preserve">demonstrated experience in integrated water resources management, </w:t>
      </w:r>
    </w:p>
    <w:p w14:paraId="092AABAC" w14:textId="77777777" w:rsidR="00ED4426" w:rsidRPr="00755A3B" w:rsidRDefault="00ED4426" w:rsidP="00ED4426">
      <w:pPr>
        <w:pStyle w:val="FirstParagraph"/>
        <w:numPr>
          <w:ilvl w:val="0"/>
          <w:numId w:val="12"/>
        </w:numPr>
        <w:jc w:val="both"/>
        <w:rPr>
          <w:rFonts w:ascii="Times New Roman" w:hAnsi="Times New Roman" w:cs="Times New Roman"/>
          <w:lang w:val="ro-MD"/>
        </w:rPr>
      </w:pPr>
      <w:r w:rsidRPr="00755A3B">
        <w:rPr>
          <w:rFonts w:ascii="Times New Roman" w:hAnsi="Times New Roman" w:cs="Times New Roman"/>
          <w:lang w:val="en-US"/>
        </w:rPr>
        <w:t xml:space="preserve">environmental science, </w:t>
      </w:r>
    </w:p>
    <w:p w14:paraId="4508966A" w14:textId="77777777" w:rsidR="00ED4426" w:rsidRPr="00755A3B" w:rsidRDefault="00ED4426" w:rsidP="00ED4426">
      <w:pPr>
        <w:pStyle w:val="FirstParagraph"/>
        <w:numPr>
          <w:ilvl w:val="0"/>
          <w:numId w:val="12"/>
        </w:numPr>
        <w:jc w:val="both"/>
        <w:rPr>
          <w:rFonts w:ascii="Times New Roman" w:hAnsi="Times New Roman" w:cs="Times New Roman"/>
          <w:lang w:val="ro-MD"/>
        </w:rPr>
      </w:pPr>
      <w:r w:rsidRPr="00755A3B">
        <w:rPr>
          <w:rFonts w:ascii="Times New Roman" w:hAnsi="Times New Roman" w:cs="Times New Roman"/>
          <w:lang w:val="en-US"/>
        </w:rPr>
        <w:t xml:space="preserve">GIS analysis and </w:t>
      </w:r>
    </w:p>
    <w:p w14:paraId="357F69EB" w14:textId="77777777" w:rsidR="00ED4426" w:rsidRPr="00755A3B" w:rsidRDefault="00ED4426" w:rsidP="00ED4426">
      <w:pPr>
        <w:pStyle w:val="FirstParagraph"/>
        <w:numPr>
          <w:ilvl w:val="0"/>
          <w:numId w:val="12"/>
        </w:numPr>
        <w:jc w:val="both"/>
        <w:rPr>
          <w:rFonts w:ascii="Times New Roman" w:hAnsi="Times New Roman" w:cs="Times New Roman"/>
          <w:lang w:val="ro-MD"/>
        </w:rPr>
      </w:pPr>
      <w:r w:rsidRPr="00755A3B">
        <w:rPr>
          <w:rFonts w:ascii="Times New Roman" w:hAnsi="Times New Roman" w:cs="Times New Roman"/>
          <w:lang w:val="en-US"/>
        </w:rPr>
        <w:t xml:space="preserve">stakeholder facilitation, in order to successfully perform the specified tasks. </w:t>
      </w:r>
    </w:p>
    <w:p w14:paraId="1177C197" w14:textId="6429DEA2" w:rsidR="00ED4426" w:rsidRPr="00755A3B" w:rsidRDefault="00ED4426" w:rsidP="00ED4426">
      <w:pPr>
        <w:pStyle w:val="FirstParagraph"/>
        <w:jc w:val="both"/>
        <w:rPr>
          <w:rFonts w:ascii="Times New Roman" w:hAnsi="Times New Roman" w:cs="Times New Roman"/>
          <w:lang w:val="ro-MD"/>
        </w:rPr>
      </w:pPr>
      <w:r w:rsidRPr="00755A3B">
        <w:rPr>
          <w:rFonts w:ascii="Times New Roman" w:hAnsi="Times New Roman" w:cs="Times New Roman"/>
          <w:lang w:val="ro-MD"/>
        </w:rPr>
        <w:tab/>
      </w:r>
      <w:r w:rsidRPr="00755A3B">
        <w:rPr>
          <w:rFonts w:ascii="Times New Roman" w:hAnsi="Times New Roman" w:cs="Times New Roman"/>
          <w:lang w:val="en-US"/>
        </w:rPr>
        <w:t xml:space="preserve">All interested firms or advisory teams are invited to submit proposals addressing this </w:t>
      </w:r>
      <w:proofErr w:type="spellStart"/>
      <w:r w:rsidRPr="00755A3B">
        <w:rPr>
          <w:rFonts w:ascii="Times New Roman" w:hAnsi="Times New Roman" w:cs="Times New Roman"/>
          <w:lang w:val="en-US"/>
        </w:rPr>
        <w:t>ToR</w:t>
      </w:r>
      <w:proofErr w:type="spellEnd"/>
      <w:r w:rsidRPr="00755A3B">
        <w:rPr>
          <w:rFonts w:ascii="Times New Roman" w:hAnsi="Times New Roman" w:cs="Times New Roman"/>
          <w:lang w:val="en-US"/>
        </w:rPr>
        <w:t xml:space="preserve">, including the technical approach, team composition, timeline and budget. The </w:t>
      </w:r>
      <w:proofErr w:type="spellStart"/>
      <w:r w:rsidRPr="00755A3B">
        <w:rPr>
          <w:rFonts w:ascii="Times New Roman" w:hAnsi="Times New Roman" w:cs="Times New Roman"/>
          <w:lang w:val="en-US"/>
        </w:rPr>
        <w:t>GISmart</w:t>
      </w:r>
      <w:proofErr w:type="spellEnd"/>
      <w:r w:rsidRPr="00755A3B">
        <w:rPr>
          <w:rFonts w:ascii="Times New Roman" w:hAnsi="Times New Roman" w:cs="Times New Roman"/>
          <w:lang w:val="en-US"/>
        </w:rPr>
        <w:t xml:space="preserve"> RHE-</w:t>
      </w:r>
      <w:proofErr w:type="spellStart"/>
      <w:r w:rsidRPr="00755A3B">
        <w:rPr>
          <w:rFonts w:ascii="Times New Roman" w:hAnsi="Times New Roman" w:cs="Times New Roman"/>
          <w:lang w:val="en-US"/>
        </w:rPr>
        <w:t>MEDiation</w:t>
      </w:r>
      <w:proofErr w:type="spellEnd"/>
      <w:r w:rsidRPr="00755A3B">
        <w:rPr>
          <w:rFonts w:ascii="Times New Roman" w:hAnsi="Times New Roman" w:cs="Times New Roman"/>
          <w:lang w:val="en-US"/>
        </w:rPr>
        <w:t xml:space="preserve"> Project is looking forward to a fruitful collaboration and a high-quality study that will lay the foundations for tangible improvements in the water resources of the </w:t>
      </w:r>
      <w:proofErr w:type="spellStart"/>
      <w:r w:rsidRPr="00755A3B">
        <w:rPr>
          <w:rFonts w:ascii="Times New Roman" w:hAnsi="Times New Roman" w:cs="Times New Roman"/>
          <w:lang w:val="en-US"/>
        </w:rPr>
        <w:t>Isnovat</w:t>
      </w:r>
      <w:proofErr w:type="spellEnd"/>
      <w:r w:rsidRPr="00755A3B">
        <w:rPr>
          <w:rFonts w:ascii="Times New Roman" w:hAnsi="Times New Roman" w:cs="Times New Roman"/>
          <w:lang w:val="en-US"/>
        </w:rPr>
        <w:t xml:space="preserve"> sub-basin.</w:t>
      </w:r>
    </w:p>
    <w:p w14:paraId="54CA5F32" w14:textId="77777777" w:rsidR="00ED4426" w:rsidRPr="00755A3B" w:rsidRDefault="00ED4426" w:rsidP="00ED4426">
      <w:pPr>
        <w:pStyle w:val="Compact"/>
        <w:spacing w:line="276" w:lineRule="auto"/>
        <w:ind w:firstLine="360"/>
        <w:jc w:val="both"/>
        <w:rPr>
          <w:rFonts w:ascii="Times New Roman" w:hAnsi="Times New Roman" w:cs="Times New Roman"/>
          <w:lang w:val="ro-MD"/>
        </w:rPr>
      </w:pPr>
    </w:p>
    <w:p w14:paraId="72B2D5E8" w14:textId="77777777" w:rsidR="00ED4426" w:rsidRPr="00755A3B" w:rsidRDefault="00ED4426" w:rsidP="00ED4426">
      <w:pPr>
        <w:spacing w:line="259" w:lineRule="auto"/>
        <w:rPr>
          <w:rFonts w:cs="Times New Roman"/>
          <w:sz w:val="24"/>
          <w:szCs w:val="24"/>
          <w:lang w:val="en-US"/>
        </w:rPr>
      </w:pPr>
      <w:r w:rsidRPr="00755A3B">
        <w:rPr>
          <w:rFonts w:cs="Times New Roman"/>
          <w:sz w:val="24"/>
          <w:szCs w:val="24"/>
          <w:lang w:val="en-US"/>
        </w:rPr>
        <w:br w:type="page"/>
      </w:r>
    </w:p>
    <w:p w14:paraId="51C50FD4" w14:textId="4EF28C0E" w:rsidR="00ED4426" w:rsidRPr="00755A3B" w:rsidRDefault="002E6A54" w:rsidP="00ED4426">
      <w:pPr>
        <w:pStyle w:val="Compact"/>
        <w:spacing w:line="276" w:lineRule="auto"/>
        <w:ind w:firstLine="360"/>
        <w:jc w:val="both"/>
        <w:rPr>
          <w:rFonts w:ascii="Times New Roman" w:hAnsi="Times New Roman" w:cs="Times New Roman"/>
          <w:b/>
          <w:bCs/>
          <w:lang w:val="en-US"/>
        </w:rPr>
      </w:pPr>
      <w:r>
        <w:rPr>
          <w:rFonts w:ascii="Times New Roman" w:hAnsi="Times New Roman" w:cs="Times New Roman"/>
          <w:b/>
          <w:bCs/>
          <w:lang w:val="en-US"/>
        </w:rPr>
        <w:lastRenderedPageBreak/>
        <w:t>S</w:t>
      </w:r>
      <w:r w:rsidR="00ED4426" w:rsidRPr="00755A3B">
        <w:rPr>
          <w:rFonts w:ascii="Times New Roman" w:hAnsi="Times New Roman" w:cs="Times New Roman"/>
          <w:b/>
          <w:bCs/>
          <w:lang w:val="en-US"/>
        </w:rPr>
        <w:t>ource</w:t>
      </w:r>
      <w:r>
        <w:rPr>
          <w:rFonts w:ascii="Times New Roman" w:hAnsi="Times New Roman" w:cs="Times New Roman"/>
          <w:b/>
          <w:bCs/>
          <w:lang w:val="en-US"/>
        </w:rPr>
        <w:t>s</w:t>
      </w:r>
      <w:r w:rsidR="00ED4426" w:rsidRPr="00755A3B">
        <w:rPr>
          <w:rFonts w:ascii="Times New Roman" w:hAnsi="Times New Roman" w:cs="Times New Roman"/>
          <w:b/>
          <w:bCs/>
          <w:lang w:val="en-US"/>
        </w:rPr>
        <w:t>:</w:t>
      </w:r>
    </w:p>
    <w:p w14:paraId="0FFD1D3F" w14:textId="77777777" w:rsidR="00ED4426" w:rsidRPr="00755A3B" w:rsidRDefault="00573891" w:rsidP="00ED4426">
      <w:pPr>
        <w:pStyle w:val="FirstParagraph"/>
        <w:jc w:val="both"/>
        <w:rPr>
          <w:rFonts w:ascii="Times New Roman" w:hAnsi="Times New Roman" w:cs="Times New Roman"/>
          <w:lang w:val="en-US"/>
        </w:rPr>
      </w:pPr>
      <w:hyperlink r:id="rId33" w:anchor=":~:text=The%20microalgae%20based%20photobioreactor%20to,measurement%20points%20for%20integration%20with">
        <w:r w:rsidR="00ED4426" w:rsidRPr="00755A3B">
          <w:rPr>
            <w:rStyle w:val="Hyperlink"/>
            <w:rFonts w:ascii="Times New Roman" w:hAnsi="Times New Roman" w:cs="Times New Roman"/>
            <w:lang w:val="en-US"/>
          </w:rPr>
          <w:t>[1]</w:t>
        </w:r>
      </w:hyperlink>
      <w:r w:rsidR="00ED4426" w:rsidRPr="00755A3B">
        <w:rPr>
          <w:rFonts w:ascii="Times New Roman" w:hAnsi="Times New Roman" w:cs="Times New Roman"/>
          <w:lang w:val="en-US"/>
        </w:rPr>
        <w:t xml:space="preserve"> </w:t>
      </w:r>
      <w:hyperlink r:id="rId34" w:anchor=":~:text=range%20of%20chemical%20contaminants%20EMODnet,MSFD%2C%20WFD%2C%20and%20Maritime%20Spatial">
        <w:r w:rsidR="00ED4426" w:rsidRPr="00755A3B">
          <w:rPr>
            <w:rStyle w:val="Hyperlink"/>
            <w:rFonts w:ascii="Times New Roman" w:hAnsi="Times New Roman" w:cs="Times New Roman"/>
            <w:lang w:val="en-US"/>
          </w:rPr>
          <w:t>[6]</w:t>
        </w:r>
      </w:hyperlink>
      <w:r w:rsidR="00ED4426" w:rsidRPr="00755A3B">
        <w:rPr>
          <w:rFonts w:ascii="Times New Roman" w:hAnsi="Times New Roman" w:cs="Times New Roman"/>
          <w:lang w:val="en-US"/>
        </w:rPr>
        <w:t xml:space="preserve"> </w:t>
      </w:r>
      <w:hyperlink r:id="rId35" w:anchor=":~:text=range%20of%20chemical%20contaminants%20EMODnet,WFD%2C%20and%20Maritime%20Spatial%20Planning">
        <w:r w:rsidR="00ED4426" w:rsidRPr="00755A3B">
          <w:rPr>
            <w:rStyle w:val="Hyperlink"/>
            <w:rFonts w:ascii="Times New Roman" w:hAnsi="Times New Roman" w:cs="Times New Roman"/>
            <w:lang w:val="en-US"/>
          </w:rPr>
          <w:t>[9]</w:t>
        </w:r>
      </w:hyperlink>
      <w:r w:rsidR="00ED4426" w:rsidRPr="00755A3B">
        <w:rPr>
          <w:rFonts w:ascii="Times New Roman" w:hAnsi="Times New Roman" w:cs="Times New Roman"/>
          <w:lang w:val="en-US"/>
        </w:rPr>
        <w:t xml:space="preserve"> </w:t>
      </w:r>
      <w:hyperlink r:id="rId36" w:anchor=":~:text=Microalgae%20are%20photosynthetic%20microorganisms%20able,value%20compounds">
        <w:r w:rsidR="00ED4426" w:rsidRPr="00755A3B">
          <w:rPr>
            <w:rStyle w:val="Hyperlink"/>
            <w:rFonts w:ascii="Times New Roman" w:hAnsi="Times New Roman" w:cs="Times New Roman"/>
            <w:lang w:val="en-US"/>
          </w:rPr>
          <w:t>[10]</w:t>
        </w:r>
      </w:hyperlink>
      <w:r w:rsidR="00ED4426" w:rsidRPr="00755A3B">
        <w:rPr>
          <w:rFonts w:ascii="Times New Roman" w:hAnsi="Times New Roman" w:cs="Times New Roman"/>
          <w:lang w:val="en-US"/>
        </w:rPr>
        <w:t xml:space="preserve"> </w:t>
      </w:r>
      <w:hyperlink r:id="rId37" w:anchor=":~:text=GREEN%20DUNE%C2%AE%20,monitoring%20real%20chemical%20pollution%20cases">
        <w:r w:rsidR="00ED4426" w:rsidRPr="00755A3B">
          <w:rPr>
            <w:rStyle w:val="Hyperlink"/>
            <w:rFonts w:ascii="Times New Roman" w:hAnsi="Times New Roman" w:cs="Times New Roman"/>
            <w:lang w:val="en-US"/>
          </w:rPr>
          <w:t>[11]</w:t>
        </w:r>
      </w:hyperlink>
      <w:r w:rsidR="00ED4426" w:rsidRPr="00755A3B">
        <w:rPr>
          <w:rFonts w:ascii="Times New Roman" w:hAnsi="Times New Roman" w:cs="Times New Roman"/>
          <w:lang w:val="en-US"/>
        </w:rPr>
        <w:t xml:space="preserve"> </w:t>
      </w:r>
      <w:hyperlink r:id="rId38" w:anchor=":~:text=The%20water%20entering%20the%20Microalgae,part%20will%20return%20to%20the">
        <w:r w:rsidR="00ED4426" w:rsidRPr="00755A3B">
          <w:rPr>
            <w:rStyle w:val="Hyperlink"/>
            <w:rFonts w:ascii="Times New Roman" w:hAnsi="Times New Roman" w:cs="Times New Roman"/>
            <w:lang w:val="en-US"/>
          </w:rPr>
          <w:t>[12]</w:t>
        </w:r>
      </w:hyperlink>
      <w:r w:rsidR="00ED4426" w:rsidRPr="00755A3B">
        <w:rPr>
          <w:rFonts w:ascii="Times New Roman" w:hAnsi="Times New Roman" w:cs="Times New Roman"/>
          <w:lang w:val="en-US"/>
        </w:rPr>
        <w:t xml:space="preserve"> </w:t>
      </w:r>
      <w:hyperlink r:id="rId39" w:anchor=":~:text=Designed%20and%20supplied%20by%20SENSICHIPS,are%20all%20relevant%20for%20the">
        <w:r w:rsidR="00ED4426" w:rsidRPr="00755A3B">
          <w:rPr>
            <w:rStyle w:val="Hyperlink"/>
            <w:rFonts w:ascii="Times New Roman" w:hAnsi="Times New Roman" w:cs="Times New Roman"/>
            <w:lang w:val="en-US"/>
          </w:rPr>
          <w:t>[13]</w:t>
        </w:r>
      </w:hyperlink>
      <w:r w:rsidR="00ED4426" w:rsidRPr="00755A3B">
        <w:rPr>
          <w:rFonts w:ascii="Times New Roman" w:hAnsi="Times New Roman" w:cs="Times New Roman"/>
          <w:lang w:val="en-US"/>
        </w:rPr>
        <w:t xml:space="preserve"> </w:t>
      </w:r>
      <w:hyperlink r:id="rId40" w:anchor=":~:text=Appreciation%20of%20all%20aspects%20of,of%20ecosystems%20Understanding%20complexity%20and">
        <w:r w:rsidR="00ED4426" w:rsidRPr="00755A3B">
          <w:rPr>
            <w:rStyle w:val="Hyperlink"/>
            <w:rFonts w:ascii="Times New Roman" w:hAnsi="Times New Roman" w:cs="Times New Roman"/>
            <w:lang w:val="en-US"/>
          </w:rPr>
          <w:t>[15]</w:t>
        </w:r>
      </w:hyperlink>
      <w:r w:rsidR="00ED4426" w:rsidRPr="00755A3B">
        <w:rPr>
          <w:rFonts w:ascii="Times New Roman" w:hAnsi="Times New Roman" w:cs="Times New Roman"/>
          <w:lang w:val="en-US"/>
        </w:rPr>
        <w:t xml:space="preserve"> scresources.rina.org</w:t>
      </w:r>
    </w:p>
    <w:p w14:paraId="7C57BC92" w14:textId="77777777" w:rsidR="00ED4426" w:rsidRPr="00755A3B" w:rsidRDefault="00573891" w:rsidP="00ED4426">
      <w:pPr>
        <w:pStyle w:val="BodyText"/>
        <w:jc w:val="both"/>
        <w:rPr>
          <w:rFonts w:cs="Times New Roman"/>
          <w:sz w:val="24"/>
          <w:szCs w:val="24"/>
          <w:lang w:val="en-US"/>
        </w:rPr>
      </w:pPr>
      <w:hyperlink r:id="rId41">
        <w:r w:rsidR="00ED4426" w:rsidRPr="00755A3B">
          <w:rPr>
            <w:rStyle w:val="Hyperlink"/>
            <w:rFonts w:cs="Times New Roman"/>
            <w:sz w:val="24"/>
            <w:szCs w:val="24"/>
            <w:lang w:val="en-US"/>
          </w:rPr>
          <w:t>https://scresources.rina.org/en/RD/rhemediation-poster-roll-up.pdf</w:t>
        </w:r>
      </w:hyperlink>
    </w:p>
    <w:p w14:paraId="4CEA2034" w14:textId="77777777" w:rsidR="00ED4426" w:rsidRPr="00755A3B" w:rsidRDefault="00573891" w:rsidP="00ED4426">
      <w:pPr>
        <w:pStyle w:val="BodyText"/>
        <w:jc w:val="both"/>
        <w:rPr>
          <w:rFonts w:cs="Times New Roman"/>
          <w:sz w:val="24"/>
          <w:szCs w:val="24"/>
          <w:lang w:val="en-US"/>
        </w:rPr>
      </w:pPr>
      <w:hyperlink r:id="rId42" w:anchor=":~:text=,a%20large%20carbon%20sequestration%20capacity">
        <w:r w:rsidR="00ED4426" w:rsidRPr="00755A3B">
          <w:rPr>
            <w:rStyle w:val="Hyperlink"/>
            <w:rFonts w:cs="Times New Roman"/>
            <w:sz w:val="24"/>
            <w:szCs w:val="24"/>
            <w:lang w:val="en-US"/>
          </w:rPr>
          <w:t>[2]</w:t>
        </w:r>
      </w:hyperlink>
      <w:r w:rsidR="00ED4426" w:rsidRPr="00755A3B">
        <w:rPr>
          <w:rFonts w:cs="Times New Roman"/>
          <w:sz w:val="24"/>
          <w:szCs w:val="24"/>
          <w:lang w:val="en-US"/>
        </w:rPr>
        <w:t xml:space="preserve"> Treating industrial wastewater using nature-based solutions | University of Algarve</w:t>
      </w:r>
    </w:p>
    <w:p w14:paraId="4CE24BC6" w14:textId="77777777" w:rsidR="00ED4426" w:rsidRPr="00755A3B" w:rsidRDefault="00573891" w:rsidP="00ED4426">
      <w:pPr>
        <w:pStyle w:val="BodyText"/>
        <w:jc w:val="both"/>
        <w:rPr>
          <w:rFonts w:cs="Times New Roman"/>
          <w:sz w:val="24"/>
          <w:szCs w:val="24"/>
          <w:lang w:val="en-US"/>
        </w:rPr>
      </w:pPr>
      <w:hyperlink r:id="rId43">
        <w:r w:rsidR="00ED4426" w:rsidRPr="00755A3B">
          <w:rPr>
            <w:rStyle w:val="Hyperlink"/>
            <w:rFonts w:cs="Times New Roman"/>
            <w:sz w:val="24"/>
            <w:szCs w:val="24"/>
            <w:lang w:val="en-US"/>
          </w:rPr>
          <w:t>https://www.ualg.pt/en/treating-industrial-wastewater-using-nature-based-solutions</w:t>
        </w:r>
      </w:hyperlink>
    </w:p>
    <w:p w14:paraId="2081BF73" w14:textId="77777777" w:rsidR="00ED4426" w:rsidRPr="00755A3B" w:rsidRDefault="00573891" w:rsidP="00ED4426">
      <w:pPr>
        <w:pStyle w:val="BodyText"/>
        <w:jc w:val="both"/>
        <w:rPr>
          <w:rFonts w:cs="Times New Roman"/>
          <w:sz w:val="24"/>
          <w:szCs w:val="24"/>
          <w:lang w:val="en-US"/>
        </w:rPr>
      </w:pPr>
      <w:hyperlink r:id="rId44" w:anchor=":~:text=The%20technology%20is%20innovative%2C%20highlighting,and%20sustainable%20exploitation%20of%20resources">
        <w:r w:rsidR="00ED4426" w:rsidRPr="00755A3B">
          <w:rPr>
            <w:rStyle w:val="Hyperlink"/>
            <w:rFonts w:cs="Times New Roman"/>
            <w:sz w:val="24"/>
            <w:szCs w:val="24"/>
            <w:lang w:val="en-US"/>
          </w:rPr>
          <w:t>[3]</w:t>
        </w:r>
      </w:hyperlink>
      <w:r w:rsidR="00ED4426" w:rsidRPr="00755A3B">
        <w:rPr>
          <w:rFonts w:cs="Times New Roman"/>
          <w:sz w:val="24"/>
          <w:szCs w:val="24"/>
          <w:lang w:val="en-US"/>
        </w:rPr>
        <w:t xml:space="preserve"> </w:t>
      </w:r>
      <w:hyperlink r:id="rId45" w:anchor=":~:text=small%20area%20and%20high%20volume%3B,and%20sustainable%20exploitation%20of%20resources">
        <w:r w:rsidR="00ED4426" w:rsidRPr="00755A3B">
          <w:rPr>
            <w:rStyle w:val="Hyperlink"/>
            <w:rFonts w:cs="Times New Roman"/>
            <w:sz w:val="24"/>
            <w:szCs w:val="24"/>
            <w:lang w:val="en-US"/>
          </w:rPr>
          <w:t>[14]</w:t>
        </w:r>
      </w:hyperlink>
      <w:r w:rsidR="00ED4426" w:rsidRPr="00755A3B">
        <w:rPr>
          <w:rFonts w:cs="Times New Roman"/>
          <w:sz w:val="24"/>
          <w:szCs w:val="24"/>
          <w:lang w:val="en-US"/>
        </w:rPr>
        <w:t xml:space="preserve"> GREEN DUNE</w:t>
      </w:r>
    </w:p>
    <w:p w14:paraId="2C9A746C" w14:textId="77777777" w:rsidR="00ED4426" w:rsidRPr="00755A3B" w:rsidRDefault="00573891" w:rsidP="00ED4426">
      <w:pPr>
        <w:pStyle w:val="BodyText"/>
        <w:jc w:val="both"/>
        <w:rPr>
          <w:rFonts w:cs="Times New Roman"/>
          <w:sz w:val="24"/>
          <w:szCs w:val="24"/>
          <w:lang w:val="en-US"/>
        </w:rPr>
      </w:pPr>
      <w:hyperlink r:id="rId46">
        <w:r w:rsidR="00ED4426" w:rsidRPr="00755A3B">
          <w:rPr>
            <w:rStyle w:val="Hyperlink"/>
            <w:rFonts w:cs="Times New Roman"/>
            <w:sz w:val="24"/>
            <w:szCs w:val="24"/>
            <w:lang w:val="en-US"/>
          </w:rPr>
          <w:t>https://www.eeagrants.gov.pt/en/programmes/blue-growth/projects/projects/green-dune/</w:t>
        </w:r>
      </w:hyperlink>
    </w:p>
    <w:p w14:paraId="3C711E50" w14:textId="77777777" w:rsidR="00ED4426" w:rsidRPr="00755A3B" w:rsidRDefault="00573891" w:rsidP="00ED4426">
      <w:pPr>
        <w:pStyle w:val="BodyText"/>
        <w:jc w:val="both"/>
        <w:rPr>
          <w:rFonts w:cs="Times New Roman"/>
          <w:sz w:val="24"/>
          <w:szCs w:val="24"/>
          <w:lang w:val="en-US"/>
        </w:rPr>
      </w:pPr>
      <w:hyperlink r:id="rId47" w:anchor=":~:text=emphasis%20on%20the%20ecological%20health,4">
        <w:r w:rsidR="00ED4426" w:rsidRPr="00755A3B">
          <w:rPr>
            <w:rStyle w:val="Hyperlink"/>
            <w:rFonts w:cs="Times New Roman"/>
            <w:sz w:val="24"/>
            <w:szCs w:val="24"/>
            <w:lang w:val="en-US"/>
          </w:rPr>
          <w:t>[4]</w:t>
        </w:r>
      </w:hyperlink>
      <w:r w:rsidR="00ED4426" w:rsidRPr="00755A3B">
        <w:rPr>
          <w:rFonts w:cs="Times New Roman"/>
          <w:sz w:val="24"/>
          <w:szCs w:val="24"/>
          <w:lang w:val="en-US"/>
        </w:rPr>
        <w:t xml:space="preserve"> </w:t>
      </w:r>
      <w:hyperlink r:id="rId48" w:anchor=":~:text=,4">
        <w:r w:rsidR="00ED4426" w:rsidRPr="00755A3B">
          <w:rPr>
            <w:rStyle w:val="Hyperlink"/>
            <w:rFonts w:cs="Times New Roman"/>
            <w:sz w:val="24"/>
            <w:szCs w:val="24"/>
            <w:lang w:val="en-US"/>
          </w:rPr>
          <w:t>[5]</w:t>
        </w:r>
      </w:hyperlink>
      <w:r w:rsidR="00ED4426" w:rsidRPr="00755A3B">
        <w:rPr>
          <w:rFonts w:cs="Times New Roman"/>
          <w:sz w:val="24"/>
          <w:szCs w:val="24"/>
          <w:lang w:val="en-US"/>
        </w:rPr>
        <w:t xml:space="preserve"> </w:t>
      </w:r>
      <w:hyperlink r:id="rId49" w:anchor=":~:text=protecting%20water%20resources%20across%20Europe,1">
        <w:r w:rsidR="00ED4426" w:rsidRPr="00755A3B">
          <w:rPr>
            <w:rStyle w:val="Hyperlink"/>
            <w:rFonts w:cs="Times New Roman"/>
            <w:sz w:val="24"/>
            <w:szCs w:val="24"/>
            <w:lang w:val="en-US"/>
          </w:rPr>
          <w:t>[8]</w:t>
        </w:r>
      </w:hyperlink>
      <w:r w:rsidR="00ED4426" w:rsidRPr="00755A3B">
        <w:rPr>
          <w:rFonts w:cs="Times New Roman"/>
          <w:sz w:val="24"/>
          <w:szCs w:val="24"/>
          <w:lang w:val="en-US"/>
        </w:rPr>
        <w:t xml:space="preserve"> </w:t>
      </w:r>
      <w:hyperlink r:id="rId50" w:anchor=":~:text=,of%20cost%20recovery%20for%20water">
        <w:r w:rsidR="00ED4426" w:rsidRPr="00755A3B">
          <w:rPr>
            <w:rStyle w:val="Hyperlink"/>
            <w:rFonts w:cs="Times New Roman"/>
            <w:sz w:val="24"/>
            <w:szCs w:val="24"/>
            <w:lang w:val="en-US"/>
          </w:rPr>
          <w:t>[16]</w:t>
        </w:r>
      </w:hyperlink>
      <w:r w:rsidR="00ED4426" w:rsidRPr="00755A3B">
        <w:rPr>
          <w:rFonts w:cs="Times New Roman"/>
          <w:sz w:val="24"/>
          <w:szCs w:val="24"/>
          <w:lang w:val="en-US"/>
        </w:rPr>
        <w:t xml:space="preserve"> Water Framework Directive | Partner Real Estate Consultants</w:t>
      </w:r>
    </w:p>
    <w:p w14:paraId="5AA4BD0D" w14:textId="77777777" w:rsidR="00ED4426" w:rsidRPr="00755A3B" w:rsidRDefault="00573891" w:rsidP="00ED4426">
      <w:pPr>
        <w:pStyle w:val="BodyText"/>
        <w:jc w:val="both"/>
        <w:rPr>
          <w:rFonts w:cs="Times New Roman"/>
          <w:sz w:val="24"/>
          <w:szCs w:val="24"/>
          <w:lang w:val="en-US"/>
        </w:rPr>
      </w:pPr>
      <w:hyperlink r:id="rId51">
        <w:r w:rsidR="00ED4426" w:rsidRPr="00755A3B">
          <w:rPr>
            <w:rStyle w:val="Hyperlink"/>
            <w:rFonts w:cs="Times New Roman"/>
            <w:sz w:val="24"/>
            <w:szCs w:val="24"/>
            <w:lang w:val="en-US"/>
          </w:rPr>
          <w:t>https://www.partneresi.com/resources/glossary/water-framework-directive/</w:t>
        </w:r>
      </w:hyperlink>
    </w:p>
    <w:p w14:paraId="7CF57B54" w14:textId="77777777" w:rsidR="00ED4426" w:rsidRPr="00755A3B" w:rsidRDefault="00573891" w:rsidP="00ED4426">
      <w:pPr>
        <w:pStyle w:val="BodyText"/>
        <w:jc w:val="both"/>
        <w:rPr>
          <w:rFonts w:cs="Times New Roman"/>
          <w:sz w:val="24"/>
          <w:szCs w:val="24"/>
          <w:lang w:val="en-US"/>
        </w:rPr>
      </w:pPr>
      <w:hyperlink r:id="rId52">
        <w:r w:rsidR="00ED4426" w:rsidRPr="00755A3B">
          <w:rPr>
            <w:rStyle w:val="Hyperlink"/>
            <w:rFonts w:cs="Times New Roman"/>
            <w:sz w:val="24"/>
            <w:szCs w:val="24"/>
            <w:lang w:val="en-US"/>
          </w:rPr>
          <w:t>https://unstats.un.org/unsd/environment/envpdf/pap_wasess2b2moldova.pdf</w:t>
        </w:r>
      </w:hyperlink>
    </w:p>
    <w:p w14:paraId="70893D06" w14:textId="77777777" w:rsidR="00ED4426" w:rsidRPr="00755A3B" w:rsidRDefault="00ED4426" w:rsidP="00ED4426">
      <w:pPr>
        <w:pStyle w:val="Compact"/>
        <w:spacing w:line="276" w:lineRule="auto"/>
        <w:jc w:val="both"/>
        <w:rPr>
          <w:rFonts w:ascii="Times New Roman" w:hAnsi="Times New Roman" w:cs="Times New Roman"/>
          <w:b/>
          <w:bCs/>
          <w:lang w:val="en-US"/>
        </w:rPr>
      </w:pPr>
    </w:p>
    <w:p w14:paraId="2A7865F4" w14:textId="77777777" w:rsidR="00FB1BB0" w:rsidRPr="00755A3B" w:rsidRDefault="00FB1BB0" w:rsidP="00CE7D4B">
      <w:pPr>
        <w:pStyle w:val="Compact"/>
        <w:spacing w:line="276" w:lineRule="auto"/>
        <w:jc w:val="both"/>
        <w:rPr>
          <w:rFonts w:ascii="Times New Roman" w:hAnsi="Times New Roman" w:cs="Times New Roman"/>
          <w:b/>
          <w:bCs/>
          <w:lang w:val="ro-MD"/>
        </w:rPr>
      </w:pPr>
    </w:p>
    <w:p w14:paraId="67EC193B" w14:textId="77777777" w:rsidR="00FB1BB0" w:rsidRPr="00755A3B" w:rsidRDefault="00FB1BB0" w:rsidP="00CE7D4B">
      <w:pPr>
        <w:pStyle w:val="Compact"/>
        <w:spacing w:line="276" w:lineRule="auto"/>
        <w:jc w:val="both"/>
        <w:rPr>
          <w:rFonts w:ascii="Times New Roman" w:hAnsi="Times New Roman" w:cs="Times New Roman"/>
          <w:lang w:val="ro-MD"/>
        </w:rPr>
      </w:pPr>
    </w:p>
    <w:sectPr w:rsidR="00FB1BB0" w:rsidRPr="00755A3B" w:rsidSect="006C0B77">
      <w:headerReference w:type="default" r:id="rId53"/>
      <w:footerReference w:type="default" r:id="rId5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B849" w14:textId="77777777" w:rsidR="00F70F84" w:rsidRDefault="00F70F84" w:rsidP="008E3E55">
      <w:pPr>
        <w:spacing w:after="0"/>
      </w:pPr>
      <w:r>
        <w:separator/>
      </w:r>
    </w:p>
  </w:endnote>
  <w:endnote w:type="continuationSeparator" w:id="0">
    <w:p w14:paraId="67147A74" w14:textId="77777777" w:rsidR="00F70F84" w:rsidRDefault="00F70F84" w:rsidP="008E3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566170"/>
      <w:docPartObj>
        <w:docPartGallery w:val="Page Numbers (Bottom of Page)"/>
        <w:docPartUnique/>
      </w:docPartObj>
    </w:sdtPr>
    <w:sdtEndPr>
      <w:rPr>
        <w:noProof/>
      </w:rPr>
    </w:sdtEndPr>
    <w:sdtContent>
      <w:p w14:paraId="542C50CD" w14:textId="361E6FFD" w:rsidR="00FB1BB0" w:rsidRDefault="00FB1B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78601E" w14:textId="77777777" w:rsidR="00FB1BB0" w:rsidRDefault="00FB1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CDE1" w14:textId="77777777" w:rsidR="00F70F84" w:rsidRDefault="00F70F84" w:rsidP="008E3E55">
      <w:pPr>
        <w:spacing w:after="0"/>
      </w:pPr>
      <w:r>
        <w:separator/>
      </w:r>
    </w:p>
  </w:footnote>
  <w:footnote w:type="continuationSeparator" w:id="0">
    <w:p w14:paraId="52574970" w14:textId="77777777" w:rsidR="00F70F84" w:rsidRDefault="00F70F84" w:rsidP="008E3E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6E44" w14:textId="321B9F1D" w:rsidR="00C21698" w:rsidRPr="00C21698" w:rsidRDefault="008E3E55" w:rsidP="00C21698">
    <w:pPr>
      <w:pStyle w:val="Header"/>
      <w:rPr>
        <w:noProof/>
      </w:rPr>
    </w:pPr>
    <w:r>
      <w:rPr>
        <w:noProof/>
      </w:rPr>
      <w:t xml:space="preserve">        </w:t>
    </w:r>
  </w:p>
  <w:p w14:paraId="0C9833C9" w14:textId="195818A7" w:rsidR="008E3E55" w:rsidRDefault="008E3E55" w:rsidP="008E3E55">
    <w:pPr>
      <w:pStyle w:val="Header"/>
    </w:pPr>
    <w:r>
      <w:rPr>
        <w:noProof/>
      </w:rPr>
      <w:t xml:space="preserve">      </w:t>
    </w:r>
    <w:r w:rsidR="005C5210">
      <w:rPr>
        <w:noProof/>
      </w:rPr>
      <w:drawing>
        <wp:inline distT="0" distB="0" distL="0" distR="0" wp14:anchorId="490BEF46" wp14:editId="1C722A98">
          <wp:extent cx="1334210" cy="1352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005" cy="1360453"/>
                  </a:xfrm>
                  <a:prstGeom prst="rect">
                    <a:avLst/>
                  </a:prstGeom>
                  <a:noFill/>
                  <a:ln>
                    <a:noFill/>
                  </a:ln>
                </pic:spPr>
              </pic:pic>
            </a:graphicData>
          </a:graphic>
        </wp:inline>
      </w:drawing>
    </w:r>
    <w:r>
      <w:rPr>
        <w:noProof/>
      </w:rPr>
      <w:t xml:space="preserve">    </w:t>
    </w:r>
    <w:r w:rsidR="005C5210">
      <w:rPr>
        <w:noProof/>
      </w:rPr>
      <w:t xml:space="preserve">  </w:t>
    </w:r>
    <w:r w:rsidR="00C21698">
      <w:rPr>
        <w:noProof/>
      </w:rPr>
      <w:t xml:space="preserve">        </w:t>
    </w:r>
    <w:r>
      <w:rPr>
        <w:noProof/>
      </w:rPr>
      <w:t xml:space="preserve"> </w:t>
    </w:r>
    <w:r w:rsidR="00C21698">
      <w:rPr>
        <w:noProof/>
      </w:rPr>
      <w:drawing>
        <wp:inline distT="0" distB="0" distL="0" distR="0" wp14:anchorId="5A1D7B67" wp14:editId="06A80767">
          <wp:extent cx="1533525" cy="584716"/>
          <wp:effectExtent l="0" t="0" r="0" b="6350"/>
          <wp:docPr id="1713658304" name="Picture 171365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1489" cy="587753"/>
                  </a:xfrm>
                  <a:prstGeom prst="rect">
                    <a:avLst/>
                  </a:prstGeom>
                  <a:noFill/>
                </pic:spPr>
              </pic:pic>
            </a:graphicData>
          </a:graphic>
        </wp:inline>
      </w:drawing>
    </w:r>
    <w:r>
      <w:rPr>
        <w:noProof/>
      </w:rPr>
      <w:t xml:space="preserve">             </w:t>
    </w:r>
    <w:r w:rsidR="00C21698">
      <w:rPr>
        <w:noProof/>
      </w:rPr>
      <w:drawing>
        <wp:inline distT="0" distB="0" distL="0" distR="0" wp14:anchorId="68DB264D" wp14:editId="51242048">
          <wp:extent cx="1914525" cy="10683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5000" b="23469"/>
                  <a:stretch/>
                </pic:blipFill>
                <pic:spPr bwMode="auto">
                  <a:xfrm>
                    <a:off x="0" y="0"/>
                    <a:ext cx="1916773" cy="106958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2ABF416F" w14:textId="17305C28" w:rsidR="008E3E55" w:rsidRPr="005C5210" w:rsidRDefault="005C5210" w:rsidP="005C5210">
    <w:pPr>
      <w:pStyle w:val="Header"/>
      <w:jc w:val="center"/>
      <w:rPr>
        <w:rFonts w:ascii="Times New Roman" w:hAnsi="Times New Roman" w:cs="Times New Roman"/>
        <w:b/>
        <w:bCs/>
        <w:color w:val="1F3864" w:themeColor="accent5" w:themeShade="80"/>
      </w:rPr>
    </w:pPr>
    <w:r w:rsidRPr="005C5210">
      <w:rPr>
        <w:rFonts w:ascii="Times New Roman" w:hAnsi="Times New Roman" w:cs="Times New Roman"/>
        <w:b/>
        <w:bCs/>
        <w:color w:val="1F3864" w:themeColor="accent5" w:themeShade="80"/>
      </w:rPr>
      <w:t>Under the EU-funded project: “Responsive hub for long term governance to destress the Mediterranean Sea from chemical pollution” (“RHE-</w:t>
    </w:r>
    <w:proofErr w:type="spellStart"/>
    <w:r w:rsidRPr="005C5210">
      <w:rPr>
        <w:rFonts w:ascii="Times New Roman" w:hAnsi="Times New Roman" w:cs="Times New Roman"/>
        <w:b/>
        <w:bCs/>
        <w:color w:val="1F3864" w:themeColor="accent5" w:themeShade="80"/>
      </w:rPr>
      <w:t>MEDiation</w:t>
    </w:r>
    <w:proofErr w:type="spellEnd"/>
    <w:r w:rsidRPr="005C5210">
      <w:rPr>
        <w:rFonts w:ascii="Times New Roman" w:hAnsi="Times New Roman" w:cs="Times New Roman"/>
        <w:b/>
        <w:bCs/>
        <w:color w:val="1F3864" w:themeColor="accent5" w:themeShade="80"/>
      </w:rPr>
      <w:t>”) - HORIZON-MISS-2022-OCEAN-01-03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AB2C6A36"/>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 w15:restartNumberingAfterBreak="0">
    <w:nsid w:val="00A99201"/>
    <w:multiLevelType w:val="multilevel"/>
    <w:tmpl w:val="12BC34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7962587"/>
    <w:multiLevelType w:val="hybridMultilevel"/>
    <w:tmpl w:val="05A4CD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644A24"/>
    <w:multiLevelType w:val="multilevel"/>
    <w:tmpl w:val="F2D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E84"/>
    <w:multiLevelType w:val="hybridMultilevel"/>
    <w:tmpl w:val="D984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45EE4"/>
    <w:multiLevelType w:val="multilevel"/>
    <w:tmpl w:val="39B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619C7"/>
    <w:multiLevelType w:val="multilevel"/>
    <w:tmpl w:val="51D6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673F9"/>
    <w:multiLevelType w:val="multilevel"/>
    <w:tmpl w:val="EAD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75ACA"/>
    <w:multiLevelType w:val="hybridMultilevel"/>
    <w:tmpl w:val="57FA8ECC"/>
    <w:lvl w:ilvl="0" w:tplc="656E8E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06812"/>
    <w:multiLevelType w:val="multilevel"/>
    <w:tmpl w:val="6BC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77397"/>
    <w:multiLevelType w:val="multilevel"/>
    <w:tmpl w:val="50E8635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1" w15:restartNumberingAfterBreak="0">
    <w:nsid w:val="380E3D44"/>
    <w:multiLevelType w:val="multilevel"/>
    <w:tmpl w:val="363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7326F"/>
    <w:multiLevelType w:val="hybridMultilevel"/>
    <w:tmpl w:val="34C26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661FD"/>
    <w:multiLevelType w:val="hybridMultilevel"/>
    <w:tmpl w:val="48D80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2F6391"/>
    <w:multiLevelType w:val="hybridMultilevel"/>
    <w:tmpl w:val="061236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9960E9A"/>
    <w:multiLevelType w:val="multilevel"/>
    <w:tmpl w:val="B5C0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C0007"/>
    <w:multiLevelType w:val="hybridMultilevel"/>
    <w:tmpl w:val="77BA8966"/>
    <w:lvl w:ilvl="0" w:tplc="0419000F">
      <w:start w:val="1"/>
      <w:numFmt w:val="decimal"/>
      <w:lvlText w:val="%1."/>
      <w:lvlJc w:val="left"/>
      <w:pPr>
        <w:ind w:left="6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8277B7"/>
    <w:multiLevelType w:val="multilevel"/>
    <w:tmpl w:val="E4BC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43429"/>
    <w:multiLevelType w:val="hybridMultilevel"/>
    <w:tmpl w:val="9E084740"/>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15:restartNumberingAfterBreak="0">
    <w:nsid w:val="670E5B8C"/>
    <w:multiLevelType w:val="multilevel"/>
    <w:tmpl w:val="B672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D53936"/>
    <w:multiLevelType w:val="multilevel"/>
    <w:tmpl w:val="398AAB6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1" w15:restartNumberingAfterBreak="0">
    <w:nsid w:val="74606743"/>
    <w:multiLevelType w:val="hybridMultilevel"/>
    <w:tmpl w:val="66F8B0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93D5CCA"/>
    <w:multiLevelType w:val="hybridMultilevel"/>
    <w:tmpl w:val="E8C4378E"/>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28174F"/>
    <w:multiLevelType w:val="multilevel"/>
    <w:tmpl w:val="C56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47BF8"/>
    <w:multiLevelType w:val="hybridMultilevel"/>
    <w:tmpl w:val="13B09D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8"/>
  </w:num>
  <w:num w:numId="4">
    <w:abstractNumId w:val="24"/>
  </w:num>
  <w:num w:numId="5">
    <w:abstractNumId w:val="14"/>
  </w:num>
  <w:num w:numId="6">
    <w:abstractNumId w:val="2"/>
  </w:num>
  <w:num w:numId="7">
    <w:abstractNumId w:val="1"/>
  </w:num>
  <w:num w:numId="8">
    <w:abstractNumId w:val="4"/>
  </w:num>
  <w:num w:numId="9">
    <w:abstractNumId w:val="21"/>
  </w:num>
  <w:num w:numId="10">
    <w:abstractNumId w:val="16"/>
  </w:num>
  <w:num w:numId="11">
    <w:abstractNumId w:val="12"/>
  </w:num>
  <w:num w:numId="12">
    <w:abstractNumId w:val="8"/>
  </w:num>
  <w:num w:numId="13">
    <w:abstractNumId w:val="22"/>
  </w:num>
  <w:num w:numId="14">
    <w:abstractNumId w:val="7"/>
  </w:num>
  <w:num w:numId="15">
    <w:abstractNumId w:val="5"/>
  </w:num>
  <w:num w:numId="16">
    <w:abstractNumId w:val="23"/>
  </w:num>
  <w:num w:numId="17">
    <w:abstractNumId w:val="15"/>
  </w:num>
  <w:num w:numId="18">
    <w:abstractNumId w:val="11"/>
  </w:num>
  <w:num w:numId="19">
    <w:abstractNumId w:val="3"/>
  </w:num>
  <w:num w:numId="20">
    <w:abstractNumId w:val="17"/>
  </w:num>
  <w:num w:numId="21">
    <w:abstractNumId w:val="9"/>
  </w:num>
  <w:num w:numId="22">
    <w:abstractNumId w:val="19"/>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55"/>
    <w:rsid w:val="00033617"/>
    <w:rsid w:val="00106045"/>
    <w:rsid w:val="001327FB"/>
    <w:rsid w:val="00157A75"/>
    <w:rsid w:val="001A387E"/>
    <w:rsid w:val="0020100C"/>
    <w:rsid w:val="00205525"/>
    <w:rsid w:val="00262176"/>
    <w:rsid w:val="00292558"/>
    <w:rsid w:val="002E2DC2"/>
    <w:rsid w:val="002E6A54"/>
    <w:rsid w:val="0038359E"/>
    <w:rsid w:val="00435724"/>
    <w:rsid w:val="005021C4"/>
    <w:rsid w:val="00573891"/>
    <w:rsid w:val="005837FC"/>
    <w:rsid w:val="005C5210"/>
    <w:rsid w:val="005F508B"/>
    <w:rsid w:val="006C0B77"/>
    <w:rsid w:val="006F4668"/>
    <w:rsid w:val="00753F7B"/>
    <w:rsid w:val="00755A3B"/>
    <w:rsid w:val="008242FF"/>
    <w:rsid w:val="00847FEF"/>
    <w:rsid w:val="00870751"/>
    <w:rsid w:val="008A1DD2"/>
    <w:rsid w:val="008E3E55"/>
    <w:rsid w:val="00911BE7"/>
    <w:rsid w:val="00922C48"/>
    <w:rsid w:val="0093511A"/>
    <w:rsid w:val="009F721A"/>
    <w:rsid w:val="009F79FB"/>
    <w:rsid w:val="00A12E25"/>
    <w:rsid w:val="00A41FA8"/>
    <w:rsid w:val="00A93CA7"/>
    <w:rsid w:val="00B05339"/>
    <w:rsid w:val="00B915B7"/>
    <w:rsid w:val="00BA46CF"/>
    <w:rsid w:val="00BF16FC"/>
    <w:rsid w:val="00C21698"/>
    <w:rsid w:val="00C324B0"/>
    <w:rsid w:val="00C5119A"/>
    <w:rsid w:val="00C566CB"/>
    <w:rsid w:val="00C61739"/>
    <w:rsid w:val="00C75570"/>
    <w:rsid w:val="00CE7D4B"/>
    <w:rsid w:val="00D5432C"/>
    <w:rsid w:val="00D61342"/>
    <w:rsid w:val="00D8540E"/>
    <w:rsid w:val="00DA0C7B"/>
    <w:rsid w:val="00DF357A"/>
    <w:rsid w:val="00E364FB"/>
    <w:rsid w:val="00E42147"/>
    <w:rsid w:val="00E43397"/>
    <w:rsid w:val="00EA59DF"/>
    <w:rsid w:val="00ED4426"/>
    <w:rsid w:val="00EE4070"/>
    <w:rsid w:val="00EE78A2"/>
    <w:rsid w:val="00F004F6"/>
    <w:rsid w:val="00F12C76"/>
    <w:rsid w:val="00F5380C"/>
    <w:rsid w:val="00F61ADB"/>
    <w:rsid w:val="00F70F84"/>
    <w:rsid w:val="00FB1B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EBCA"/>
  <w15:chartTrackingRefBased/>
  <w15:docId w15:val="{01CAD992-2F54-4D23-B640-6E2A389F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B0"/>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FB1BB0"/>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FB1BB0"/>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E55"/>
    <w:pPr>
      <w:tabs>
        <w:tab w:val="center" w:pos="4703"/>
        <w:tab w:val="right" w:pos="9406"/>
      </w:tabs>
      <w:spacing w:after="0"/>
    </w:pPr>
    <w:rPr>
      <w:rFonts w:asciiTheme="minorHAnsi" w:hAnsiTheme="minorHAnsi"/>
      <w:sz w:val="22"/>
      <w:lang w:val="en-US"/>
    </w:rPr>
  </w:style>
  <w:style w:type="character" w:customStyle="1" w:styleId="HeaderChar">
    <w:name w:val="Header Char"/>
    <w:basedOn w:val="DefaultParagraphFont"/>
    <w:link w:val="Header"/>
    <w:uiPriority w:val="99"/>
    <w:rsid w:val="008E3E55"/>
    <w:rPr>
      <w:lang w:val="en-US"/>
    </w:rPr>
  </w:style>
  <w:style w:type="paragraph" w:styleId="Footer">
    <w:name w:val="footer"/>
    <w:basedOn w:val="Normal"/>
    <w:link w:val="FooterChar"/>
    <w:uiPriority w:val="99"/>
    <w:unhideWhenUsed/>
    <w:rsid w:val="008E3E55"/>
    <w:pPr>
      <w:tabs>
        <w:tab w:val="center" w:pos="4677"/>
        <w:tab w:val="right" w:pos="9355"/>
      </w:tabs>
      <w:spacing w:after="0"/>
    </w:pPr>
  </w:style>
  <w:style w:type="character" w:customStyle="1" w:styleId="FooterChar">
    <w:name w:val="Footer Char"/>
    <w:basedOn w:val="DefaultParagraphFont"/>
    <w:link w:val="Footer"/>
    <w:uiPriority w:val="99"/>
    <w:rsid w:val="008E3E55"/>
    <w:rPr>
      <w:rFonts w:ascii="Times New Roman" w:hAnsi="Times New Roman"/>
      <w:sz w:val="28"/>
    </w:rPr>
  </w:style>
  <w:style w:type="paragraph" w:styleId="ListParagraph">
    <w:name w:val="List Paragraph"/>
    <w:aliases w:val="List_Paragraph,Multilevel para_II,List Paragraph1,Akapit z listą BS,Bullet1,List Paragraph 1,List Paragraph (numbered (a)),Numbered list,Forth level,NumberedParas,Bullets,PAD,Main numbered paragraph,List Paragraph-ExecSummary,References"/>
    <w:basedOn w:val="Normal"/>
    <w:link w:val="ListParagraphChar"/>
    <w:uiPriority w:val="34"/>
    <w:qFormat/>
    <w:rsid w:val="00FB1BB0"/>
    <w:pPr>
      <w:ind w:left="720"/>
      <w:contextualSpacing/>
    </w:pPr>
  </w:style>
  <w:style w:type="character" w:styleId="Hyperlink">
    <w:name w:val="Hyperlink"/>
    <w:basedOn w:val="DefaultParagraphFont"/>
    <w:rsid w:val="00FB1BB0"/>
    <w:rPr>
      <w:color w:val="5B9BD5" w:themeColor="accent1"/>
    </w:rPr>
  </w:style>
  <w:style w:type="paragraph" w:customStyle="1" w:styleId="FirstParagraph">
    <w:name w:val="First Paragraph"/>
    <w:basedOn w:val="BodyText"/>
    <w:next w:val="BodyText"/>
    <w:qFormat/>
    <w:rsid w:val="00FB1BB0"/>
    <w:pPr>
      <w:spacing w:before="180" w:after="180"/>
    </w:pPr>
    <w:rPr>
      <w:rFonts w:asciiTheme="minorHAnsi" w:hAnsiTheme="minorHAnsi"/>
      <w:sz w:val="24"/>
      <w:szCs w:val="24"/>
      <w:lang w:val="ru"/>
    </w:rPr>
  </w:style>
  <w:style w:type="paragraph" w:styleId="BodyText">
    <w:name w:val="Body Text"/>
    <w:basedOn w:val="Normal"/>
    <w:link w:val="BodyTextChar"/>
    <w:uiPriority w:val="99"/>
    <w:semiHidden/>
    <w:unhideWhenUsed/>
    <w:rsid w:val="00FB1BB0"/>
    <w:pPr>
      <w:spacing w:after="120"/>
    </w:pPr>
  </w:style>
  <w:style w:type="character" w:customStyle="1" w:styleId="BodyTextChar">
    <w:name w:val="Body Text Char"/>
    <w:basedOn w:val="DefaultParagraphFont"/>
    <w:link w:val="BodyText"/>
    <w:uiPriority w:val="99"/>
    <w:semiHidden/>
    <w:rsid w:val="00FB1BB0"/>
    <w:rPr>
      <w:rFonts w:ascii="Times New Roman" w:hAnsi="Times New Roman"/>
      <w:sz w:val="28"/>
    </w:rPr>
  </w:style>
  <w:style w:type="paragraph" w:customStyle="1" w:styleId="Compact">
    <w:name w:val="Compact"/>
    <w:basedOn w:val="BodyText"/>
    <w:qFormat/>
    <w:rsid w:val="00FB1BB0"/>
    <w:pPr>
      <w:spacing w:before="36" w:after="36"/>
    </w:pPr>
    <w:rPr>
      <w:rFonts w:asciiTheme="minorHAnsi" w:hAnsiTheme="minorHAnsi"/>
      <w:sz w:val="24"/>
      <w:szCs w:val="24"/>
      <w:lang w:val="ru"/>
    </w:rPr>
  </w:style>
  <w:style w:type="table" w:styleId="TableGrid">
    <w:name w:val="Table Grid"/>
    <w:basedOn w:val="TableNormal"/>
    <w:uiPriority w:val="39"/>
    <w:rsid w:val="00FB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Akapit z listą BS Char,Bullet1 Char,List Paragraph 1 Char,List Paragraph (numbered (a)) Char,Numbered list Char,Forth level Char,NumberedParas Char,Bullets Char"/>
    <w:link w:val="ListParagraph"/>
    <w:uiPriority w:val="34"/>
    <w:qFormat/>
    <w:locked/>
    <w:rsid w:val="00FB1BB0"/>
    <w:rPr>
      <w:rFonts w:ascii="Times New Roman" w:hAnsi="Times New Roman"/>
      <w:sz w:val="28"/>
    </w:rPr>
  </w:style>
  <w:style w:type="character" w:customStyle="1" w:styleId="Heading1Char">
    <w:name w:val="Heading 1 Char"/>
    <w:basedOn w:val="DefaultParagraphFont"/>
    <w:link w:val="Heading1"/>
    <w:uiPriority w:val="9"/>
    <w:rsid w:val="00FB1BB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B1BB0"/>
    <w:rPr>
      <w:rFonts w:ascii="Times New Roman" w:eastAsiaTheme="majorEastAsia" w:hAnsi="Times New Roman" w:cstheme="majorBidi"/>
      <w:b/>
      <w:color w:val="000000" w:themeColor="text1"/>
      <w:sz w:val="24"/>
      <w:szCs w:val="26"/>
    </w:rPr>
  </w:style>
  <w:style w:type="character" w:styleId="PlaceholderText">
    <w:name w:val="Placeholder Text"/>
    <w:basedOn w:val="DefaultParagraphFont"/>
    <w:uiPriority w:val="99"/>
    <w:semiHidden/>
    <w:rsid w:val="00DF357A"/>
    <w:rPr>
      <w:color w:val="808080"/>
    </w:rPr>
  </w:style>
  <w:style w:type="character" w:styleId="CommentReference">
    <w:name w:val="annotation reference"/>
    <w:basedOn w:val="DefaultParagraphFont"/>
    <w:uiPriority w:val="99"/>
    <w:semiHidden/>
    <w:unhideWhenUsed/>
    <w:rsid w:val="00A41FA8"/>
    <w:rPr>
      <w:sz w:val="16"/>
      <w:szCs w:val="16"/>
    </w:rPr>
  </w:style>
  <w:style w:type="paragraph" w:styleId="CommentText">
    <w:name w:val="annotation text"/>
    <w:basedOn w:val="Normal"/>
    <w:link w:val="CommentTextChar"/>
    <w:uiPriority w:val="99"/>
    <w:unhideWhenUsed/>
    <w:rsid w:val="00A41FA8"/>
    <w:rPr>
      <w:sz w:val="20"/>
      <w:szCs w:val="20"/>
    </w:rPr>
  </w:style>
  <w:style w:type="character" w:customStyle="1" w:styleId="CommentTextChar">
    <w:name w:val="Comment Text Char"/>
    <w:basedOn w:val="DefaultParagraphFont"/>
    <w:link w:val="CommentText"/>
    <w:uiPriority w:val="99"/>
    <w:rsid w:val="00A41F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1FA8"/>
    <w:rPr>
      <w:b/>
      <w:bCs/>
    </w:rPr>
  </w:style>
  <w:style w:type="character" w:customStyle="1" w:styleId="CommentSubjectChar">
    <w:name w:val="Comment Subject Char"/>
    <w:basedOn w:val="CommentTextChar"/>
    <w:link w:val="CommentSubject"/>
    <w:uiPriority w:val="99"/>
    <w:semiHidden/>
    <w:rsid w:val="00A41FA8"/>
    <w:rPr>
      <w:rFonts w:ascii="Times New Roman" w:hAnsi="Times New Roman"/>
      <w:b/>
      <w:bCs/>
      <w:sz w:val="20"/>
      <w:szCs w:val="20"/>
    </w:rPr>
  </w:style>
  <w:style w:type="character" w:styleId="FollowedHyperlink">
    <w:name w:val="FollowedHyperlink"/>
    <w:basedOn w:val="DefaultParagraphFont"/>
    <w:uiPriority w:val="99"/>
    <w:semiHidden/>
    <w:unhideWhenUsed/>
    <w:rsid w:val="00847FEF"/>
    <w:rPr>
      <w:color w:val="954F72" w:themeColor="followedHyperlink"/>
      <w:u w:val="single"/>
    </w:rPr>
  </w:style>
  <w:style w:type="table" w:customStyle="1" w:styleId="TableGrid1">
    <w:name w:val="Table Grid1"/>
    <w:basedOn w:val="TableNormal"/>
    <w:next w:val="TableGrid"/>
    <w:uiPriority w:val="39"/>
    <w:rsid w:val="00F5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16FC"/>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BF16FC"/>
    <w:rPr>
      <w:b/>
      <w:bCs/>
    </w:rPr>
  </w:style>
  <w:style w:type="character" w:styleId="Emphasis">
    <w:name w:val="Emphasis"/>
    <w:basedOn w:val="DefaultParagraphFont"/>
    <w:uiPriority w:val="20"/>
    <w:qFormat/>
    <w:rsid w:val="00BF16FC"/>
    <w:rPr>
      <w:i/>
      <w:iCs/>
    </w:rPr>
  </w:style>
  <w:style w:type="character" w:customStyle="1" w:styleId="relative">
    <w:name w:val="relative"/>
    <w:basedOn w:val="DefaultParagraphFont"/>
    <w:rsid w:val="00C5119A"/>
  </w:style>
  <w:style w:type="paragraph" w:customStyle="1" w:styleId="not-prose">
    <w:name w:val="not-prose"/>
    <w:basedOn w:val="Normal"/>
    <w:rsid w:val="00C5119A"/>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359">
      <w:bodyDiv w:val="1"/>
      <w:marLeft w:val="0"/>
      <w:marRight w:val="0"/>
      <w:marTop w:val="0"/>
      <w:marBottom w:val="0"/>
      <w:divBdr>
        <w:top w:val="none" w:sz="0" w:space="0" w:color="auto"/>
        <w:left w:val="none" w:sz="0" w:space="0" w:color="auto"/>
        <w:bottom w:val="none" w:sz="0" w:space="0" w:color="auto"/>
        <w:right w:val="none" w:sz="0" w:space="0" w:color="auto"/>
      </w:divBdr>
    </w:div>
    <w:div w:id="818115538">
      <w:bodyDiv w:val="1"/>
      <w:marLeft w:val="0"/>
      <w:marRight w:val="0"/>
      <w:marTop w:val="0"/>
      <w:marBottom w:val="0"/>
      <w:divBdr>
        <w:top w:val="none" w:sz="0" w:space="0" w:color="auto"/>
        <w:left w:val="none" w:sz="0" w:space="0" w:color="auto"/>
        <w:bottom w:val="none" w:sz="0" w:space="0" w:color="auto"/>
        <w:right w:val="none" w:sz="0" w:space="0" w:color="auto"/>
      </w:divBdr>
    </w:div>
    <w:div w:id="1529222022">
      <w:bodyDiv w:val="1"/>
      <w:marLeft w:val="0"/>
      <w:marRight w:val="0"/>
      <w:marTop w:val="0"/>
      <w:marBottom w:val="0"/>
      <w:divBdr>
        <w:top w:val="none" w:sz="0" w:space="0" w:color="auto"/>
        <w:left w:val="none" w:sz="0" w:space="0" w:color="auto"/>
        <w:bottom w:val="none" w:sz="0" w:space="0" w:color="auto"/>
        <w:right w:val="none" w:sz="0" w:space="0" w:color="auto"/>
      </w:divBdr>
    </w:div>
    <w:div w:id="1780951312">
      <w:bodyDiv w:val="1"/>
      <w:marLeft w:val="0"/>
      <w:marRight w:val="0"/>
      <w:marTop w:val="0"/>
      <w:marBottom w:val="0"/>
      <w:divBdr>
        <w:top w:val="none" w:sz="0" w:space="0" w:color="auto"/>
        <w:left w:val="none" w:sz="0" w:space="0" w:color="auto"/>
        <w:bottom w:val="none" w:sz="0" w:space="0" w:color="auto"/>
        <w:right w:val="none" w:sz="0" w:space="0" w:color="auto"/>
      </w:divBdr>
    </w:div>
    <w:div w:id="1782063998">
      <w:bodyDiv w:val="1"/>
      <w:marLeft w:val="0"/>
      <w:marRight w:val="0"/>
      <w:marTop w:val="0"/>
      <w:marBottom w:val="0"/>
      <w:divBdr>
        <w:top w:val="none" w:sz="0" w:space="0" w:color="auto"/>
        <w:left w:val="none" w:sz="0" w:space="0" w:color="auto"/>
        <w:bottom w:val="none" w:sz="0" w:space="0" w:color="auto"/>
        <w:right w:val="none" w:sz="0" w:space="0" w:color="auto"/>
      </w:divBdr>
    </w:div>
    <w:div w:id="1793671374">
      <w:bodyDiv w:val="1"/>
      <w:marLeft w:val="0"/>
      <w:marRight w:val="0"/>
      <w:marTop w:val="0"/>
      <w:marBottom w:val="0"/>
      <w:divBdr>
        <w:top w:val="none" w:sz="0" w:space="0" w:color="auto"/>
        <w:left w:val="none" w:sz="0" w:space="0" w:color="auto"/>
        <w:bottom w:val="none" w:sz="0" w:space="0" w:color="auto"/>
        <w:right w:val="none" w:sz="0" w:space="0" w:color="auto"/>
      </w:divBdr>
    </w:div>
    <w:div w:id="1909027079">
      <w:bodyDiv w:val="1"/>
      <w:marLeft w:val="0"/>
      <w:marRight w:val="0"/>
      <w:marTop w:val="0"/>
      <w:marBottom w:val="0"/>
      <w:divBdr>
        <w:top w:val="none" w:sz="0" w:space="0" w:color="auto"/>
        <w:left w:val="none" w:sz="0" w:space="0" w:color="auto"/>
        <w:bottom w:val="none" w:sz="0" w:space="0" w:color="auto"/>
        <w:right w:val="none" w:sz="0" w:space="0" w:color="auto"/>
      </w:divBdr>
    </w:div>
    <w:div w:id="203037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tneresi.com/resources/glossary/water-framework-directive/" TargetMode="External"/><Relationship Id="rId18" Type="http://schemas.openxmlformats.org/officeDocument/2006/relationships/hyperlink" Target="https://www.partneresi.com/resources/glossary/water-framework-directive/" TargetMode="External"/><Relationship Id="rId26" Type="http://schemas.openxmlformats.org/officeDocument/2006/relationships/hyperlink" Target="https://scresources.rina.org/en/RD/rhemediation-poster-roll-up.pdf" TargetMode="External"/><Relationship Id="rId39" Type="http://schemas.openxmlformats.org/officeDocument/2006/relationships/hyperlink" Target="https://scresources.rina.org/en/RD/rhemediation-poster-roll-up.pdf" TargetMode="External"/><Relationship Id="rId21" Type="http://schemas.openxmlformats.org/officeDocument/2006/relationships/hyperlink" Target="https://www.partneresi.com/resources/glossary/water-framework-directive/" TargetMode="External"/><Relationship Id="rId34" Type="http://schemas.openxmlformats.org/officeDocument/2006/relationships/hyperlink" Target="https://scresources.rina.org/en/RD/rhemediation-poster-roll-up.pdf" TargetMode="External"/><Relationship Id="rId42" Type="http://schemas.openxmlformats.org/officeDocument/2006/relationships/hyperlink" Target="https://www.ualg.pt/en/treating-industrial-wastewater-using-nature-based-solutions" TargetMode="External"/><Relationship Id="rId47" Type="http://schemas.openxmlformats.org/officeDocument/2006/relationships/hyperlink" Target="https://www.partneresi.com/resources/glossary/water-framework-directive/" TargetMode="External"/><Relationship Id="rId50" Type="http://schemas.openxmlformats.org/officeDocument/2006/relationships/hyperlink" Target="https://www.partneresi.com/resources/glossary/water-framework-directiv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resources.rina.org/en/RD/rhemediation-poster-roll-up.pdf" TargetMode="External"/><Relationship Id="rId29" Type="http://schemas.openxmlformats.org/officeDocument/2006/relationships/hyperlink" Target="https://www.eeagrants.gov.pt/en/programmes/blue-growth/projects/projects/green-dune/" TargetMode="External"/><Relationship Id="rId11" Type="http://schemas.openxmlformats.org/officeDocument/2006/relationships/hyperlink" Target="https://scresources.rina.org/en/RD/rhemediation-poster-roll-up.pdf" TargetMode="External"/><Relationship Id="rId24" Type="http://schemas.openxmlformats.org/officeDocument/2006/relationships/hyperlink" Target="https://scresources.rina.org/en/RD/rhemediation-poster-roll-up.pdf" TargetMode="External"/><Relationship Id="rId32" Type="http://schemas.openxmlformats.org/officeDocument/2006/relationships/hyperlink" Target="https://www.partneresi.com/resources/glossary/water-framework-directive/" TargetMode="External"/><Relationship Id="rId37" Type="http://schemas.openxmlformats.org/officeDocument/2006/relationships/hyperlink" Target="https://scresources.rina.org/en/RD/rhemediation-poster-roll-up.pdf" TargetMode="External"/><Relationship Id="rId40" Type="http://schemas.openxmlformats.org/officeDocument/2006/relationships/hyperlink" Target="https://scresources.rina.org/en/RD/rhemediation-poster-roll-up.pdf" TargetMode="External"/><Relationship Id="rId45" Type="http://schemas.openxmlformats.org/officeDocument/2006/relationships/hyperlink" Target="https://www.eeagrants.gov.pt/en/programmes/blue-growth/projects/projects/green-dune/"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eagrants.gov.pt/en/programmes/blue-growth/projects/projects/green-dune/" TargetMode="External"/><Relationship Id="rId19" Type="http://schemas.openxmlformats.org/officeDocument/2006/relationships/hyperlink" Target="https://www.partneresi.com/resources/glossary/water-framework-directive/" TargetMode="External"/><Relationship Id="rId31" Type="http://schemas.openxmlformats.org/officeDocument/2006/relationships/hyperlink" Target="https://scresources.rina.org/en/RD/rhemediation-poster-roll-up.pdf" TargetMode="External"/><Relationship Id="rId44" Type="http://schemas.openxmlformats.org/officeDocument/2006/relationships/hyperlink" Target="https://www.eeagrants.gov.pt/en/programmes/blue-growth/projects/projects/green-dune/" TargetMode="External"/><Relationship Id="rId52" Type="http://schemas.openxmlformats.org/officeDocument/2006/relationships/hyperlink" Target="https://unstats.un.org/unsd/environment/envpdf/pap_wasess2b2moldova.pdf" TargetMode="External"/><Relationship Id="rId4" Type="http://schemas.openxmlformats.org/officeDocument/2006/relationships/settings" Target="settings.xml"/><Relationship Id="rId9" Type="http://schemas.openxmlformats.org/officeDocument/2006/relationships/hyperlink" Target="https://www.ualg.pt/en/treating-industrial-wastewater-using-nature-based-solutions" TargetMode="External"/><Relationship Id="rId14" Type="http://schemas.openxmlformats.org/officeDocument/2006/relationships/hyperlink" Target="https://www.partneresi.com/resources/glossary/water-framework-directive/" TargetMode="External"/><Relationship Id="rId22" Type="http://schemas.openxmlformats.org/officeDocument/2006/relationships/hyperlink" Target="https://www.partneresi.com/resources/glossary/water-framework-directive/" TargetMode="External"/><Relationship Id="rId27" Type="http://schemas.openxmlformats.org/officeDocument/2006/relationships/hyperlink" Target="https://www.eeagrants.gov.pt/en/programmes/blue-growth/projects/projects/green-dune/" TargetMode="External"/><Relationship Id="rId30" Type="http://schemas.openxmlformats.org/officeDocument/2006/relationships/hyperlink" Target="https://www.eeagrants.gov.pt/en/programmes/blue-growth/projects/projects/green-dune/" TargetMode="External"/><Relationship Id="rId35" Type="http://schemas.openxmlformats.org/officeDocument/2006/relationships/hyperlink" Target="https://scresources.rina.org/en/RD/rhemediation-poster-roll-up.pdf" TargetMode="External"/><Relationship Id="rId43" Type="http://schemas.openxmlformats.org/officeDocument/2006/relationships/hyperlink" Target="https://www.ualg.pt/en/treating-industrial-wastewater-using-nature-based-solutions" TargetMode="External"/><Relationship Id="rId48" Type="http://schemas.openxmlformats.org/officeDocument/2006/relationships/hyperlink" Target="https://www.partneresi.com/resources/glossary/water-framework-directive/" TargetMode="External"/><Relationship Id="rId56" Type="http://schemas.openxmlformats.org/officeDocument/2006/relationships/theme" Target="theme/theme1.xml"/><Relationship Id="rId8" Type="http://schemas.openxmlformats.org/officeDocument/2006/relationships/hyperlink" Target="https://scresources.rina.org/en/RD/rhemediation-poster-roll-up.pdf" TargetMode="External"/><Relationship Id="rId51" Type="http://schemas.openxmlformats.org/officeDocument/2006/relationships/hyperlink" Target="https://www.partneresi.com/resources/glossary/water-framework-directive/" TargetMode="External"/><Relationship Id="rId3" Type="http://schemas.openxmlformats.org/officeDocument/2006/relationships/styles" Target="styles.xml"/><Relationship Id="rId12" Type="http://schemas.openxmlformats.org/officeDocument/2006/relationships/hyperlink" Target="https://www.ualg.pt/en/treating-industrial-wastewater-using-nature-based-solutions" TargetMode="External"/><Relationship Id="rId17" Type="http://schemas.openxmlformats.org/officeDocument/2006/relationships/hyperlink" Target="https://www.partneresi.com/resources/glossary/water-framework-directive/" TargetMode="External"/><Relationship Id="rId25" Type="http://schemas.openxmlformats.org/officeDocument/2006/relationships/hyperlink" Target="https://scresources.rina.org/en/RD/rhemediation-poster-roll-up.pdf" TargetMode="External"/><Relationship Id="rId33" Type="http://schemas.openxmlformats.org/officeDocument/2006/relationships/hyperlink" Target="https://scresources.rina.org/en/RD/rhemediation-poster-roll-up.pdf" TargetMode="External"/><Relationship Id="rId38" Type="http://schemas.openxmlformats.org/officeDocument/2006/relationships/hyperlink" Target="https://scresources.rina.org/en/RD/rhemediation-poster-roll-up.pdf" TargetMode="External"/><Relationship Id="rId46" Type="http://schemas.openxmlformats.org/officeDocument/2006/relationships/hyperlink" Target="https://www.eeagrants.gov.pt/en/programmes/blue-growth/projects/projects/green-dune/" TargetMode="External"/><Relationship Id="rId20" Type="http://schemas.openxmlformats.org/officeDocument/2006/relationships/hyperlink" Target="https://www.partneresi.com/resources/glossary/water-framework-directive/" TargetMode="External"/><Relationship Id="rId41" Type="http://schemas.openxmlformats.org/officeDocument/2006/relationships/hyperlink" Target="https://scresources.rina.org/en/RD/rhemediation-poster-roll-up.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resources.rina.org/en/RD/rhemediation-poster-roll-up.pdf" TargetMode="External"/><Relationship Id="rId23" Type="http://schemas.openxmlformats.org/officeDocument/2006/relationships/hyperlink" Target="https://scresources.rina.org/en/RD/rhemediation-poster-roll-up.pdf" TargetMode="External"/><Relationship Id="rId28" Type="http://schemas.openxmlformats.org/officeDocument/2006/relationships/hyperlink" Target="https://scresources.rina.org/en/RD/rhemediation-poster-roll-up.pdf" TargetMode="External"/><Relationship Id="rId36" Type="http://schemas.openxmlformats.org/officeDocument/2006/relationships/hyperlink" Target="https://scresources.rina.org/en/RD/rhemediation-poster-roll-up.pdf" TargetMode="External"/><Relationship Id="rId49" Type="http://schemas.openxmlformats.org/officeDocument/2006/relationships/hyperlink" Target="https://www.partneresi.com/resources/glossary/water-framework-directiv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FD32-E0CC-493B-AA8B-5EE1943F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7603</Words>
  <Characters>43342</Characters>
  <Application>Microsoft Office Word</Application>
  <DocSecurity>0</DocSecurity>
  <Lines>361</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SCPPIE</dc:creator>
  <cp:keywords/>
  <dc:description/>
  <cp:lastModifiedBy>Daniela Preasca</cp:lastModifiedBy>
  <cp:revision>2</cp:revision>
  <dcterms:created xsi:type="dcterms:W3CDTF">2025-11-13T11:10:00Z</dcterms:created>
  <dcterms:modified xsi:type="dcterms:W3CDTF">2025-11-13T11:10:00Z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2025-10-23T13:55:00Z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ec4eee02-3cfc-4f88-9a88-0d0e08b19ef3</vt:lpwstr>
  </property>
  <property fmtid="{D5CDD505-2E9C-101B-9397-08002B2CF9AE}" pid="8" name="MSIP_Label_a6175487-42af-4492-84fe-2b4054e011bd_ContentBits">
    <vt:lpwstr>0</vt:lpwstr>
  </property>
  <property fmtid="{D5CDD505-2E9C-101B-9397-08002B2CF9AE}" pid="9" name="MSIP_Label_a6175487-42af-4492-84fe-2b4054e011bd_Tag">
    <vt:lpwstr>10, 0, 1, 1</vt:lpwstr>
  </property>
</Properties>
</file>